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市城投集团和浙大双创院签订战略合作框架协议</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来源：杭州日报</w:t>
      </w:r>
    </w:p>
    <w:p>
      <w:pPr>
        <w:pStyle w:val="11"/>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月12日，杭州市城投集团和浙江大学创新创业研究院（以下简称浙大双创院）举行战略合作框架协议签约仪式。本次协议的签订，标志着双方在技术创新和产业发展等领域的合作迈出实质性一步，对贯彻落实市委、市政府关于做强做优做大国有企业的决策部署，加快推进创新链和产业链无缝对接，共同打造校企合作的标杆典范具有重要意义。</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杭州市城投集团作为市属国企的排头兵，坚定“以城为本</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以产为核、产城融合”发展模式，拥有产城、水务、公交、能源、安居、城建、置业、投资等八大业务板块，在城市建设、民生保障、产业投资等方面肩负着国企使命与担当；浙大双创院作为浙江大学科技成果转移转化体系的重要组成部分和知识产权持股平台授权运营主体，积极践行“打造浙江大学服务地方经济发展的重要平台、展示师生校友创新创业成果的重要窗口、促进技术成果转化和产业化的重要基地、推动产教融合发展的重要力量”的使命担当，集聚了一大批高能级“泛浙大”创新企业。</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Times New Roman"/>
          <w:b/>
          <w:bCs w:val="0"/>
          <w:color w:val="FF6600"/>
          <w:kern w:val="2"/>
          <w:sz w:val="24"/>
          <w:szCs w:val="24"/>
          <w:lang w:val="en-US" w:eastAsia="zh-CN" w:bidi="ar-SA"/>
        </w:rPr>
      </w:pPr>
      <w:r>
        <w:rPr>
          <w:rFonts w:hint="eastAsia" w:ascii="宋体" w:hAnsi="宋体" w:eastAsia="宋体" w:cs="宋体"/>
          <w:snapToGrid w:val="0"/>
          <w:color w:val="000000"/>
          <w:kern w:val="0"/>
          <w:sz w:val="24"/>
          <w:szCs w:val="24"/>
          <w:lang w:val="en-US" w:eastAsia="zh-CN" w:bidi="ar-SA"/>
        </w:rPr>
        <w:t>根据框架协议，双方将按照“优势互补、互信互惠、互利共赢”的原则，充分发挥市城投集团在重大城建项目、产业资本以及市属国企的品牌、市场、资金等方面优势，深入挖掘浙大双创院在科技项目导入、“浙大系”优质科技成果转化、浙大人才智力、国际合作以及一流的平台资源整合能力等方面优势，进一步推动“名校+名企”建设，有效促进产业和资本深度融合，共同为杭州建设世界一流的社会主义现代化国际大都市贡献智慧和力量。</w:t>
      </w:r>
    </w:p>
    <w:p>
      <w:pPr>
        <w:pStyle w:val="11"/>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华侨城、顺控城投20.5亿获顺德大良一宗商住地</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将实现区域内连片开发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cs="宋体" w:eastAsiaTheme="minorEastAsia"/>
          <w:snapToGrid w:val="0"/>
          <w:color w:val="000000"/>
          <w:kern w:val="0"/>
          <w:sz w:val="24"/>
          <w:szCs w:val="24"/>
          <w:lang w:val="en-US" w:eastAsia="zh-CN" w:bidi="ar-SA"/>
        </w:rPr>
        <w:t>来源：观点网</w:t>
      </w:r>
    </w:p>
    <w:p>
      <w:pPr>
        <w:pStyle w:val="14"/>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1月16日，深圳华侨城房地产有限公司、广东顺控城投置业有限公司以总价20.5亿拿下佛山市顺德区大良镇欢乐海岸旁商住地，折合楼面价7417元/㎡。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观点新媒体获悉，该地块位于顺德区大良镇华侨城欢乐海岸旁，宗地总占地面积24.06万㎡，将分为A区、B1区、B2区、B3区、C区和D区总计六个区域分别开发。其中，A区为娱乐康体用地兼容商业用地、文华设施用地及公园绿地，占地76057.35㎡，容积率不高于0.33，计容建面不超25000㎡，建筑限高60米；</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B1-B3区为公园与绿地，占地面积分别为59504㎡、1444.52㎡、16964.52㎡。其中B1现状为水域，须保持水域现状开发使用，可用于水上运动项目，水上舞台，游乐设备，水上交通、水上轨道交通等用途；</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C区为城镇村道路用地，占地面积约2878.93㎡；</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D区为住宅兼容商业用地，占地面积约83754.46㎡，容积率不高于3.3，建筑密度不高于28%，绿地率不低于25%，建筑限高150米。</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根据地块出让要求，宗地要求竞得者需在宗地内A区、B1区、B2区内配建具备公共休闲、科技体验、自然教育、娱乐互动等功能于一体的公共文化广场。</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此外，本项目公共文化广场拟与顺峰山公园、寻味顺德小镇等文化旅游资源进行整合，全力打造“粤港澳大湾区城央度假区、国家级旅游度假区、国家5A级旅游景区”三大文旅名片。</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在轨道规划上，宗地周边除了有即将通车的佛山地铁3号线外，未来宗地附近还将规划佛山地铁13号线和广州地铁26号线。</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snapToGrid w:val="0"/>
          <w:color w:val="000000"/>
        </w:rPr>
      </w:pPr>
      <w:r>
        <w:rPr>
          <w:rFonts w:hint="eastAsia" w:ascii="宋体" w:hAnsi="宋体" w:eastAsia="宋体" w:cs="宋体"/>
          <w:snapToGrid w:val="0"/>
          <w:color w:val="000000"/>
          <w:kern w:val="0"/>
          <w:sz w:val="24"/>
          <w:szCs w:val="24"/>
          <w:lang w:val="en-US" w:eastAsia="zh-CN" w:bidi="ar-SA"/>
        </w:rPr>
        <w:t>据悉，出让地块周边的欢乐海岸、华侨城天鹅堡、华侨城天鹅湖等都由华侨城打造。此次华侨城拿地后，将能够实现区域内连片开发。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snapToGrid w:val="0"/>
          <w:color w:val="000000"/>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w:t>
      </w:r>
      <w:bookmarkStart w:id="0" w:name="_GoBack"/>
      <w:bookmarkEnd w:id="0"/>
      <w:r>
        <w:rPr>
          <w:rFonts w:hint="eastAsia" w:ascii="宋体" w:hAnsi="宋体" w:cs="宋体"/>
          <w:snapToGrid w:val="0"/>
          <w:color w:val="000000"/>
          <w:kern w:val="0"/>
          <w:sz w:val="24"/>
          <w:szCs w:val="24"/>
          <w:lang w:val="en-US" w:eastAsia="zh-CN" w:bidi="ar-SA"/>
        </w:rPr>
        <w:t>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2</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28</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0F3A2267"/>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D010DD"/>
    <w:rsid w:val="3CEB33CD"/>
    <w:rsid w:val="4247545C"/>
    <w:rsid w:val="42D84824"/>
    <w:rsid w:val="43215475"/>
    <w:rsid w:val="441A3D4C"/>
    <w:rsid w:val="44FD6564"/>
    <w:rsid w:val="467D421D"/>
    <w:rsid w:val="480B25EE"/>
    <w:rsid w:val="4890330D"/>
    <w:rsid w:val="48D21008"/>
    <w:rsid w:val="4CEB02D2"/>
    <w:rsid w:val="4D227684"/>
    <w:rsid w:val="4D392193"/>
    <w:rsid w:val="53410626"/>
    <w:rsid w:val="53730655"/>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E1567F"/>
    <w:rsid w:val="6D3D22B1"/>
    <w:rsid w:val="6D84762F"/>
    <w:rsid w:val="70594F33"/>
    <w:rsid w:val="713016CA"/>
    <w:rsid w:val="72662AEE"/>
    <w:rsid w:val="72AB6650"/>
    <w:rsid w:val="72C82FFA"/>
    <w:rsid w:val="7416122C"/>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8">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样式4"/>
    <w:basedOn w:val="3"/>
    <w:next w:val="3"/>
    <w:qFormat/>
    <w:uiPriority w:val="0"/>
    <w:pPr>
      <w:spacing w:line="500" w:lineRule="exact"/>
      <w:ind w:firstLine="200" w:firstLineChars="200"/>
    </w:pPr>
    <w:rPr>
      <w:rFonts w:cs="Courier New"/>
      <w:b/>
      <w:color w:val="FF0000"/>
      <w:spacing w:val="-6"/>
      <w:kern w:val="0"/>
      <w:sz w:val="30"/>
      <w:szCs w:val="30"/>
    </w:rPr>
  </w:style>
  <w:style w:type="paragraph" w:styleId="3">
    <w:name w:val="Plain Text"/>
    <w:basedOn w:val="1"/>
    <w:qFormat/>
    <w:uiPriority w:val="0"/>
    <w:rPr>
      <w:rFonts w:ascii="宋体" w:hAnsi="Courier New" w:cs="Courier New"/>
      <w:szCs w:val="21"/>
    </w:rPr>
  </w:style>
  <w:style w:type="paragraph" w:styleId="7">
    <w:name w:val="Normal Indent"/>
    <w:basedOn w:val="1"/>
    <w:next w:val="1"/>
    <w:qFormat/>
    <w:uiPriority w:val="0"/>
    <w:pPr>
      <w:ind w:firstLine="964" w:firstLineChars="200"/>
    </w:pPr>
    <w:rPr>
      <w:sz w:val="28"/>
    </w:rPr>
  </w:style>
  <w:style w:type="paragraph" w:styleId="8">
    <w:name w:val="Body Text"/>
    <w:basedOn w:val="1"/>
    <w:next w:val="9"/>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9">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10">
    <w:name w:val="Body Text Indent"/>
    <w:basedOn w:val="1"/>
    <w:next w:val="11"/>
    <w:qFormat/>
    <w:uiPriority w:val="0"/>
    <w:pPr>
      <w:ind w:left="420" w:leftChars="200"/>
    </w:pPr>
    <w:rPr>
      <w:kern w:val="2"/>
      <w:sz w:val="21"/>
      <w:szCs w:val="24"/>
    </w:rPr>
  </w:style>
  <w:style w:type="paragraph" w:styleId="11">
    <w:name w:val="Body Text First Indent 2"/>
    <w:basedOn w:val="10"/>
    <w:next w:val="1"/>
    <w:qFormat/>
    <w:uiPriority w:val="0"/>
    <w:pPr>
      <w:widowControl w:val="0"/>
      <w:ind w:firstLine="420"/>
      <w:jc w:val="both"/>
    </w:pPr>
    <w:rPr>
      <w:kern w:val="2"/>
      <w:sz w:val="21"/>
      <w:szCs w:val="24"/>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4">
    <w:name w:val="footnote text"/>
    <w:basedOn w:val="1"/>
    <w:qFormat/>
    <w:uiPriority w:val="0"/>
    <w:pPr>
      <w:snapToGrid w:val="0"/>
      <w:jc w:val="left"/>
    </w:pPr>
    <w:rPr>
      <w:sz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rFonts w:hint="eastAsia" w:ascii="宋体" w:hAnsi="宋体" w:eastAsia="宋体" w:cs="宋体"/>
      <w:color w:val="333333"/>
      <w:u w:val="none"/>
    </w:rPr>
  </w:style>
  <w:style w:type="character" w:styleId="22">
    <w:name w:val="Emphasis"/>
    <w:basedOn w:val="18"/>
    <w:qFormat/>
    <w:uiPriority w:val="0"/>
    <w:rPr>
      <w:i/>
    </w:rPr>
  </w:style>
  <w:style w:type="character" w:styleId="23">
    <w:name w:val="Hyperlink"/>
    <w:basedOn w:val="18"/>
    <w:qFormat/>
    <w:uiPriority w:val="0"/>
    <w:rPr>
      <w:rFonts w:hint="eastAsia" w:ascii="宋体" w:hAnsi="宋体" w:eastAsia="宋体" w:cs="宋体"/>
      <w:color w:val="333333"/>
      <w:u w:val="none"/>
    </w:rPr>
  </w:style>
  <w:style w:type="character" w:styleId="24">
    <w:name w:val="HTML Code"/>
    <w:basedOn w:val="18"/>
    <w:qFormat/>
    <w:uiPriority w:val="0"/>
    <w:rPr>
      <w:rFonts w:ascii="Courier New" w:hAnsi="Courier New"/>
      <w:sz w:val="20"/>
    </w:rPr>
  </w:style>
  <w:style w:type="character" w:styleId="25">
    <w:name w:val="HTML Cite"/>
    <w:basedOn w:val="18"/>
    <w:qFormat/>
    <w:uiPriority w:val="0"/>
    <w:rPr>
      <w:i/>
    </w:rPr>
  </w:style>
  <w:style w:type="character" w:customStyle="1" w:styleId="26">
    <w:name w:val="bds_more"/>
    <w:basedOn w:val="18"/>
    <w:qFormat/>
    <w:uiPriority w:val="0"/>
  </w:style>
  <w:style w:type="character" w:customStyle="1" w:styleId="27">
    <w:name w:val="bds_nopic"/>
    <w:basedOn w:val="18"/>
    <w:qFormat/>
    <w:uiPriority w:val="0"/>
  </w:style>
  <w:style w:type="character" w:customStyle="1" w:styleId="28">
    <w:name w:val="bds_nopic1"/>
    <w:basedOn w:val="18"/>
    <w:qFormat/>
    <w:uiPriority w:val="0"/>
  </w:style>
  <w:style w:type="character" w:customStyle="1" w:styleId="29">
    <w:name w:val="bds_nopic2"/>
    <w:basedOn w:val="18"/>
    <w:qFormat/>
    <w:uiPriority w:val="0"/>
  </w:style>
  <w:style w:type="character" w:customStyle="1" w:styleId="30">
    <w:name w:val="current"/>
    <w:basedOn w:val="18"/>
    <w:qFormat/>
    <w:uiPriority w:val="0"/>
    <w:rPr>
      <w:b/>
      <w:color w:val="666666"/>
      <w:bdr w:val="single" w:color="E0E0E0" w:sz="6" w:space="0"/>
      <w:shd w:val="clear" w:fill="F0F0F0"/>
    </w:rPr>
  </w:style>
  <w:style w:type="character" w:customStyle="1" w:styleId="31">
    <w:name w:val="disabled"/>
    <w:basedOn w:val="18"/>
    <w:qFormat/>
    <w:uiPriority w:val="0"/>
    <w:rPr>
      <w:color w:val="CCCCCC"/>
      <w:bdr w:val="single" w:color="DBDADA" w:sz="6" w:space="0"/>
    </w:rPr>
  </w:style>
  <w:style w:type="character" w:customStyle="1" w:styleId="32">
    <w:name w:val="tab_active"/>
    <w:basedOn w:val="18"/>
    <w:qFormat/>
    <w:uiPriority w:val="0"/>
    <w:rPr>
      <w:color w:val="666666"/>
    </w:rPr>
  </w:style>
  <w:style w:type="character" w:customStyle="1" w:styleId="33">
    <w:name w:val="current2"/>
    <w:basedOn w:val="18"/>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3</TotalTime>
  <ScaleCrop>false</ScaleCrop>
  <LinksUpToDate>false</LinksUpToDate>
  <CharactersWithSpaces>1791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2023-08-04T02:37:33Z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