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银川城投公司与车库电桩公司签订协议加快推进银川市新能源充电桩布局建设</w:t>
      </w:r>
    </w:p>
    <w:p>
      <w:pPr>
        <w:pStyle w:val="12"/>
        <w:keepNext w:val="0"/>
        <w:keepLines w:val="0"/>
        <w:pageBreakBefore w:val="0"/>
        <w:widowControl w:val="0"/>
        <w:kinsoku/>
        <w:wordWrap/>
        <w:overflowPunct/>
        <w:topLinePunct w:val="0"/>
        <w:autoSpaceDE/>
        <w:autoSpaceDN/>
        <w:bidi w:val="0"/>
        <w:adjustRightInd/>
        <w:snapToGrid/>
        <w:ind w:firstLine="420"/>
        <w:textAlignment w:val="auto"/>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来源：宁夏新闻网</w:t>
      </w:r>
    </w:p>
    <w:p>
      <w:pPr>
        <w:pStyle w:val="1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8GS&#10;uNgAAAAJAQAADwAAAAAAAAABACAAAAAiAAAAZHJzL2Rvd25yZXYueG1sUEsBAhQAFAAAAAgAh07i&#10;QFerUgbpAQAA3gMAAA4AAAAAAAAAAQAgAAAAJwEAAGRycy9lMm9Eb2MueG1sUEsFBgAAAAAGAAYA&#10;WQEAAII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9月10日，随着银川市城市建设投资控股有限公司与银川车库电桩科技有限公司新能源充电桩建设运营战略合作协议的签订，银川乃至全区多元化综合能源服务新场景生态布局按下了加速键。</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为全面提升城市功能与品质，不断提高城市综合承载能力，近年来，银川城投公司以“城市综合运营服务商”为定位，积极贯彻落实自治区党委、政府及银川市委、政府工作部署，引入深圳等城市新能源充电设施推广经验和优秀企业，推进银川市新能源充电桩设施建设，助推银川市全面推广新能源汽车应用。</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据银川城投公司充电桩项目负责人薛刚介绍，此次合作的车库电桩公司是一家以新能源汽车智能配套服务为主营业务的国家高新技术企业和双软企业，在充电设备研发制造、充电站规划、智能运营平台、充电站运营管理等方面具有丰富的经验和技术优势。双方将针对加强银川公共充电服务网络规划、建设、运营、管理及新能源汽车推广等方面开展合作，共同推进银川新能源汽车充电网络布局，搭建银川“充电一张网”，推进能源数字化。</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据了解，2020年银川城投公司共建设完成8个充电场站，安装直交流充电桩150多个，目前已经全部投入使用。今年银川城投公司计划建设完成300台充电桩，后期将根据市场需求逐年增加充电桩及场站，完成银川市区快充网络布局。</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当日，银川城投公司董事长闫晓军与车库电桩公司董事长高玮出席签约仪式，并代表双方签署战略合作协议。</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山西城投与金科服务正式签约 将共同成立城市服务平台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来源：乐居财经</w:t>
      </w:r>
    </w:p>
    <w:p>
      <w:pPr>
        <w:pStyle w:val="10"/>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LNmA&#10;1wAAAAgBAAAPAAAAAAAAAAEAIAAAACIAAABkcnMvZG93bnJldi54bWxQSwECFAAUAAAACACHTuJA&#10;32TMI+kBAADeAwAADgAAAAAAAAABACAAAAAmAQAAZHJzL2Uyb0RvYy54bWxQSwUGAAAAAAYABgBZ&#10;AQAAgQU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default" w:ascii="宋体" w:hAnsi="宋体" w:eastAsia="宋体" w:cs="宋体"/>
          <w:snapToGrid w:val="0"/>
          <w:color w:val="000000"/>
          <w:kern w:val="0"/>
          <w:sz w:val="24"/>
          <w:szCs w:val="24"/>
          <w:lang w:val="en-US" w:eastAsia="zh-CN" w:bidi="ar-SA"/>
        </w:rPr>
        <w:t>9月26日，金科服务与山西城投城市运营集团正式签约。</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default" w:ascii="宋体" w:hAnsi="宋体" w:eastAsia="宋体" w:cs="宋体"/>
          <w:snapToGrid w:val="0"/>
          <w:color w:val="000000"/>
          <w:kern w:val="0"/>
          <w:sz w:val="24"/>
          <w:szCs w:val="24"/>
          <w:lang w:val="en-US" w:eastAsia="zh-CN" w:bidi="ar-SA"/>
        </w:rPr>
      </w:pPr>
      <w:r>
        <w:rPr>
          <w:rFonts w:hint="default" w:ascii="宋体" w:hAnsi="宋体" w:eastAsia="宋体" w:cs="宋体"/>
          <w:snapToGrid w:val="0"/>
          <w:color w:val="000000"/>
          <w:kern w:val="0"/>
          <w:sz w:val="24"/>
          <w:szCs w:val="24"/>
          <w:lang w:val="en-US" w:eastAsia="zh-CN" w:bidi="ar-SA"/>
        </w:rPr>
        <w:t>据了解，双方将共同成立城市服务平台，依托技术资源、产业资源、建投资源等多方优势，发力城市运营服务、物业服务、市政环卫一体化等相关领域。</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default" w:ascii="宋体" w:hAnsi="宋体" w:eastAsia="宋体" w:cs="宋体"/>
          <w:snapToGrid w:val="0"/>
          <w:color w:val="000000"/>
          <w:kern w:val="0"/>
          <w:sz w:val="24"/>
          <w:szCs w:val="24"/>
          <w:lang w:val="en-US" w:eastAsia="zh-CN" w:bidi="ar-SA"/>
        </w:rPr>
      </w:pPr>
      <w:r>
        <w:rPr>
          <w:rFonts w:hint="default" w:ascii="宋体" w:hAnsi="宋体" w:eastAsia="宋体" w:cs="宋体"/>
          <w:snapToGrid w:val="0"/>
          <w:color w:val="000000"/>
          <w:kern w:val="0"/>
          <w:sz w:val="24"/>
          <w:szCs w:val="24"/>
          <w:lang w:val="en-US" w:eastAsia="zh-CN" w:bidi="ar-SA"/>
        </w:rPr>
        <w:t>山西城投集团有限公司成立于2020年9月14日，所属行业为房屋建筑业，经营范围包含：建设工程；电力业务；安全技术防范系统的设计、安装、监理、运营；交通信号设施安装；公路养护；建筑劳务分包等。</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default" w:ascii="宋体" w:hAnsi="宋体" w:eastAsia="宋体" w:cs="宋体"/>
          <w:snapToGrid w:val="0"/>
          <w:color w:val="000000"/>
          <w:kern w:val="0"/>
          <w:sz w:val="24"/>
          <w:szCs w:val="24"/>
          <w:lang w:val="en-US" w:eastAsia="zh-CN" w:bidi="ar-SA"/>
        </w:rPr>
      </w:pPr>
      <w:r>
        <w:rPr>
          <w:rFonts w:hint="default" w:ascii="宋体" w:hAnsi="宋体" w:eastAsia="宋体" w:cs="宋体"/>
          <w:snapToGrid w:val="0"/>
          <w:color w:val="000000"/>
          <w:kern w:val="0"/>
          <w:sz w:val="24"/>
          <w:szCs w:val="24"/>
          <w:lang w:val="en-US" w:eastAsia="zh-CN" w:bidi="ar-SA"/>
        </w:rPr>
        <w:t>金科智慧服务集团股份有限公司（金科服务）成立于2000年，2020年11月于香港交易所上市。是中国领先，西南第一的综合智慧物业服务商。按综合实力(1)计，该公司自2016年至2020年连续五年被评为中国物业服务百强企业十强之一，自2015年至2020年，连续六年西南地区排名第一。</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default" w:ascii="宋体" w:hAnsi="宋体" w:eastAsia="宋体" w:cs="宋体"/>
          <w:snapToGrid w:val="0"/>
          <w:color w:val="000000"/>
          <w:kern w:val="0"/>
          <w:sz w:val="24"/>
          <w:szCs w:val="24"/>
          <w:lang w:val="en-US" w:eastAsia="zh-CN" w:bidi="ar-SA"/>
        </w:rPr>
      </w:pPr>
      <w:r>
        <w:rPr>
          <w:rFonts w:hint="default" w:ascii="宋体" w:hAnsi="宋体" w:eastAsia="宋体" w:cs="宋体"/>
          <w:snapToGrid w:val="0"/>
          <w:color w:val="000000"/>
          <w:kern w:val="0"/>
          <w:sz w:val="24"/>
          <w:szCs w:val="24"/>
          <w:lang w:val="en-US" w:eastAsia="zh-CN" w:bidi="ar-SA"/>
        </w:rPr>
        <w:t>作为国内智慧服务领域的先行者，金科服务充分利用了“科技+数据+场景+服务”的综合优势，高效构建智能化、数据化、AI化的“数智场景新生态”，不仅已在住宅社区、产业园区、商写楼宇等业态赋能美好生活品质，更在城市级智慧场景运用不断深耕。</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default" w:ascii="宋体" w:hAnsi="宋体" w:eastAsia="宋体" w:cs="宋体"/>
          <w:snapToGrid w:val="0"/>
          <w:color w:val="000000"/>
          <w:kern w:val="0"/>
          <w:sz w:val="24"/>
          <w:szCs w:val="24"/>
          <w:lang w:val="en-US" w:eastAsia="zh-CN" w:bidi="ar-SA"/>
        </w:rPr>
        <w:t>根据2021年中期财务数据，金科服务上半年在管面积3062万平方米，半年新增合约面积3774万平方米，总在管面积达1.87亿平方米。已完成</w:t>
      </w:r>
      <w:bookmarkStart w:id="0" w:name="_GoBack"/>
      <w:bookmarkEnd w:id="0"/>
      <w:r>
        <w:rPr>
          <w:rFonts w:hint="default" w:ascii="宋体" w:hAnsi="宋体" w:eastAsia="宋体" w:cs="宋体"/>
          <w:snapToGrid w:val="0"/>
          <w:color w:val="000000"/>
          <w:kern w:val="0"/>
          <w:sz w:val="24"/>
          <w:szCs w:val="24"/>
          <w:lang w:val="en-US" w:eastAsia="zh-CN" w:bidi="ar-SA"/>
        </w:rPr>
        <w:t>26个省市、166个城市的全国化布局，其中管理共496个住宅项目，292个非住宅项目。</w:t>
      </w:r>
    </w:p>
    <w:p>
      <w:pPr>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2021</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9</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2E9239D"/>
    <w:rsid w:val="03802FAA"/>
    <w:rsid w:val="05605221"/>
    <w:rsid w:val="07183EFD"/>
    <w:rsid w:val="0B49215B"/>
    <w:rsid w:val="0C1510B5"/>
    <w:rsid w:val="0C323478"/>
    <w:rsid w:val="0C8B726C"/>
    <w:rsid w:val="0CCF11AA"/>
    <w:rsid w:val="0E3837D3"/>
    <w:rsid w:val="106814C6"/>
    <w:rsid w:val="11242915"/>
    <w:rsid w:val="11B2016B"/>
    <w:rsid w:val="11B25936"/>
    <w:rsid w:val="11C26D1D"/>
    <w:rsid w:val="135711B6"/>
    <w:rsid w:val="1C077BB4"/>
    <w:rsid w:val="1D644D34"/>
    <w:rsid w:val="21AF5AE2"/>
    <w:rsid w:val="21D167FF"/>
    <w:rsid w:val="24093C83"/>
    <w:rsid w:val="25140E91"/>
    <w:rsid w:val="2661183B"/>
    <w:rsid w:val="26D66E8E"/>
    <w:rsid w:val="286859B9"/>
    <w:rsid w:val="298433C2"/>
    <w:rsid w:val="29894E55"/>
    <w:rsid w:val="2B4E6124"/>
    <w:rsid w:val="2BC96687"/>
    <w:rsid w:val="2CC17CB9"/>
    <w:rsid w:val="2DBD30F1"/>
    <w:rsid w:val="2DCF4E54"/>
    <w:rsid w:val="2DFB280F"/>
    <w:rsid w:val="2ECA5F7D"/>
    <w:rsid w:val="2F1D4CC3"/>
    <w:rsid w:val="30253624"/>
    <w:rsid w:val="32E50573"/>
    <w:rsid w:val="351D0E15"/>
    <w:rsid w:val="364879E2"/>
    <w:rsid w:val="37B874E3"/>
    <w:rsid w:val="387E2BC0"/>
    <w:rsid w:val="3AD010DD"/>
    <w:rsid w:val="3CEB33CD"/>
    <w:rsid w:val="42D84824"/>
    <w:rsid w:val="43215475"/>
    <w:rsid w:val="44FD6564"/>
    <w:rsid w:val="467D421D"/>
    <w:rsid w:val="480B25EE"/>
    <w:rsid w:val="4890330D"/>
    <w:rsid w:val="48D21008"/>
    <w:rsid w:val="4CEB02D2"/>
    <w:rsid w:val="53410626"/>
    <w:rsid w:val="55B1257D"/>
    <w:rsid w:val="5A30331E"/>
    <w:rsid w:val="5B951F4C"/>
    <w:rsid w:val="5E0D378B"/>
    <w:rsid w:val="5EBB0E8D"/>
    <w:rsid w:val="5F1E5AC5"/>
    <w:rsid w:val="602C7E0F"/>
    <w:rsid w:val="60C01E77"/>
    <w:rsid w:val="61140174"/>
    <w:rsid w:val="64CF6463"/>
    <w:rsid w:val="678E1AC9"/>
    <w:rsid w:val="6CE1567F"/>
    <w:rsid w:val="6D3D22B1"/>
    <w:rsid w:val="6D84762F"/>
    <w:rsid w:val="70594F33"/>
    <w:rsid w:val="713016CA"/>
    <w:rsid w:val="72662AEE"/>
    <w:rsid w:val="72C82FFA"/>
    <w:rsid w:val="7416122C"/>
    <w:rsid w:val="767203B6"/>
    <w:rsid w:val="782A0984"/>
    <w:rsid w:val="783E0425"/>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964" w:firstLineChars="200"/>
    </w:pPr>
    <w:rPr>
      <w:sz w:val="28"/>
    </w:rPr>
  </w:style>
  <w:style w:type="paragraph" w:styleId="5">
    <w:name w:val="Body Text"/>
    <w:basedOn w:val="1"/>
    <w:next w:val="6"/>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6">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7">
    <w:name w:val="Body Text Indent"/>
    <w:basedOn w:val="1"/>
    <w:qFormat/>
    <w:uiPriority w:val="0"/>
    <w:pPr>
      <w:ind w:left="420" w:leftChars="200"/>
    </w:pPr>
    <w:rPr>
      <w:kern w:val="2"/>
      <w:sz w:val="21"/>
      <w:szCs w:val="24"/>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next w:val="1"/>
    <w:qFormat/>
    <w:uiPriority w:val="0"/>
    <w:pPr>
      <w:widowControl w:val="0"/>
      <w:ind w:firstLine="420"/>
      <w:jc w:val="both"/>
    </w:pPr>
    <w:rPr>
      <w:kern w:val="2"/>
      <w:sz w:val="21"/>
      <w:szCs w:val="24"/>
    </w:r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rFonts w:hint="eastAsia" w:ascii="宋体" w:hAnsi="宋体" w:eastAsia="宋体" w:cs="宋体"/>
      <w:color w:val="333333"/>
      <w:u w:val="none"/>
    </w:rPr>
  </w:style>
  <w:style w:type="character" w:styleId="18">
    <w:name w:val="Emphasis"/>
    <w:basedOn w:val="14"/>
    <w:qFormat/>
    <w:uiPriority w:val="0"/>
    <w:rPr>
      <w:i/>
    </w:rPr>
  </w:style>
  <w:style w:type="character" w:styleId="19">
    <w:name w:val="Hyperlink"/>
    <w:basedOn w:val="14"/>
    <w:qFormat/>
    <w:uiPriority w:val="0"/>
    <w:rPr>
      <w:rFonts w:hint="eastAsia" w:ascii="宋体" w:hAnsi="宋体" w:eastAsia="宋体" w:cs="宋体"/>
      <w:color w:val="333333"/>
      <w:u w:val="none"/>
    </w:rPr>
  </w:style>
  <w:style w:type="character" w:styleId="20">
    <w:name w:val="HTML Code"/>
    <w:basedOn w:val="14"/>
    <w:qFormat/>
    <w:uiPriority w:val="0"/>
    <w:rPr>
      <w:rFonts w:ascii="Courier New" w:hAnsi="Courier New"/>
      <w:sz w:val="20"/>
    </w:rPr>
  </w:style>
  <w:style w:type="character" w:styleId="21">
    <w:name w:val="HTML Cite"/>
    <w:basedOn w:val="14"/>
    <w:qFormat/>
    <w:uiPriority w:val="0"/>
    <w:rPr>
      <w:i/>
    </w:rPr>
  </w:style>
  <w:style w:type="character" w:customStyle="1" w:styleId="22">
    <w:name w:val="bds_more"/>
    <w:basedOn w:val="14"/>
    <w:qFormat/>
    <w:uiPriority w:val="0"/>
  </w:style>
  <w:style w:type="character" w:customStyle="1" w:styleId="23">
    <w:name w:val="bds_nopic"/>
    <w:basedOn w:val="14"/>
    <w:qFormat/>
    <w:uiPriority w:val="0"/>
  </w:style>
  <w:style w:type="character" w:customStyle="1" w:styleId="24">
    <w:name w:val="bds_nopic1"/>
    <w:basedOn w:val="14"/>
    <w:qFormat/>
    <w:uiPriority w:val="0"/>
  </w:style>
  <w:style w:type="character" w:customStyle="1" w:styleId="25">
    <w:name w:val="bds_nopic2"/>
    <w:basedOn w:val="14"/>
    <w:qFormat/>
    <w:uiPriority w:val="0"/>
  </w:style>
  <w:style w:type="character" w:customStyle="1" w:styleId="26">
    <w:name w:val="current"/>
    <w:basedOn w:val="14"/>
    <w:qFormat/>
    <w:uiPriority w:val="0"/>
    <w:rPr>
      <w:b/>
      <w:color w:val="666666"/>
      <w:bdr w:val="single" w:color="E0E0E0" w:sz="6" w:space="0"/>
      <w:shd w:val="clear" w:fill="F0F0F0"/>
    </w:rPr>
  </w:style>
  <w:style w:type="character" w:customStyle="1" w:styleId="27">
    <w:name w:val="disabled"/>
    <w:basedOn w:val="14"/>
    <w:qFormat/>
    <w:uiPriority w:val="0"/>
    <w:rPr>
      <w:color w:val="CCCCCC"/>
      <w:bdr w:val="single" w:color="DBDADA" w:sz="6" w:space="0"/>
    </w:rPr>
  </w:style>
  <w:style w:type="character" w:customStyle="1" w:styleId="28">
    <w:name w:val="tab_active"/>
    <w:basedOn w:val="14"/>
    <w:qFormat/>
    <w:uiPriority w:val="0"/>
    <w:rPr>
      <w:color w:val="666666"/>
    </w:rPr>
  </w:style>
  <w:style w:type="character" w:customStyle="1" w:styleId="29">
    <w:name w:val="current2"/>
    <w:basedOn w:val="14"/>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嘤嘤嘤^^</cp:lastModifiedBy>
  <dcterms:modified xsi:type="dcterms:W3CDTF">2021-11-01T03:32:57Z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94D68A1A2BAA4D88B8E1D5E94F87C7FD</vt:lpwstr>
  </property>
</Properties>
</file>