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i w:val="0"/>
          <w:caps w:val="0"/>
          <w:color w:val="333333"/>
          <w:spacing w:val="0"/>
          <w:sz w:val="36"/>
          <w:szCs w:val="36"/>
          <w:shd w:val="clear" w:fill="FFFFFF"/>
        </w:rPr>
      </w:pPr>
      <w:r>
        <w:rPr>
          <w:rFonts w:hint="eastAsia" w:asciiTheme="minorEastAsia" w:hAnsiTheme="minorEastAsia" w:eastAsiaTheme="minorEastAsia" w:cstheme="minorEastAsia"/>
          <w:b/>
          <w:bCs/>
          <w:i w:val="0"/>
          <w:caps w:val="0"/>
          <w:color w:val="333333"/>
          <w:spacing w:val="0"/>
          <w:sz w:val="36"/>
          <w:szCs w:val="36"/>
          <w:shd w:val="clear" w:fill="FFFFFF"/>
        </w:rPr>
        <w:t>关于保障和规范农村一二三产业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i w:val="0"/>
          <w:caps w:val="0"/>
          <w:color w:val="333333"/>
          <w:spacing w:val="0"/>
          <w:sz w:val="36"/>
          <w:szCs w:val="36"/>
          <w:shd w:val="clear" w:fill="FFFFFF"/>
        </w:rPr>
      </w:pPr>
      <w:bookmarkStart w:id="0" w:name="_GoBack"/>
      <w:bookmarkEnd w:id="0"/>
      <w:r>
        <w:rPr>
          <w:rFonts w:hint="eastAsia" w:asciiTheme="minorEastAsia" w:hAnsiTheme="minorEastAsia" w:eastAsiaTheme="minorEastAsia" w:cstheme="minorEastAsia"/>
          <w:b/>
          <w:bCs/>
          <w:i w:val="0"/>
          <w:caps w:val="0"/>
          <w:color w:val="333333"/>
          <w:spacing w:val="0"/>
          <w:sz w:val="36"/>
          <w:szCs w:val="36"/>
          <w:shd w:val="clear" w:fill="FFFFFF"/>
        </w:rPr>
        <w:t>融合发展用地的通知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shd w:val="clear" w:fill="FFFFFF"/>
        </w:rPr>
        <w:t>各省、自治区、直辖市自然资源主管部门、发展改革委、农业农村（农牧）厅（局、委），新疆生产建设兵团自然资源局、发展改革委、农业农村局：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shd w:val="clear" w:fill="FFFFFF"/>
        </w:rPr>
        <w:t>为贯彻落实党中央、国务院优先发展农业农村、全面推进乡村振兴的决策部署，发展县域经济，顺应农村产业发展规律，保障农村一二三产业融合发展合理用地需求，为农村产业发展壮大留出用地空间，现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b/>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8"/>
          <w:szCs w:val="28"/>
          <w:shd w:val="clear" w:fill="FFFFFF"/>
        </w:rPr>
        <w:t>一、明确农村一二三产业融合发展用地范围。</w:t>
      </w:r>
      <w:r>
        <w:rPr>
          <w:rFonts w:hint="eastAsia" w:asciiTheme="minorEastAsia" w:hAnsiTheme="minorEastAsia" w:eastAsiaTheme="minorEastAsia" w:cstheme="minorEastAsia"/>
          <w:i w:val="0"/>
          <w:caps w:val="0"/>
          <w:color w:val="333333"/>
          <w:spacing w:val="0"/>
          <w:sz w:val="28"/>
          <w:szCs w:val="28"/>
          <w:shd w:val="clear" w:fill="FFFFFF"/>
        </w:rPr>
        <w:t>农村一二三产业融合发展用地是以农业农村资源为依托，拓展农业农村功能，延伸产业链条，涵盖农产品生产、加工、流通、就地消费等环节，用于农产品加工流通、农村休闲观光旅游、电子商务等混合融合的产业用地，土地用途可确定为工业用地、商业用地、物流仓储用地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b/>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8"/>
          <w:szCs w:val="28"/>
          <w:shd w:val="clear" w:fill="FFFFFF"/>
        </w:rPr>
        <w:t>二、引导农村产业在县域范围内统筹布局。</w:t>
      </w:r>
      <w:r>
        <w:rPr>
          <w:rFonts w:hint="eastAsia" w:asciiTheme="minorEastAsia" w:hAnsiTheme="minorEastAsia" w:eastAsiaTheme="minorEastAsia" w:cstheme="minorEastAsia"/>
          <w:i w:val="0"/>
          <w:caps w:val="0"/>
          <w:color w:val="333333"/>
          <w:spacing w:val="0"/>
          <w:sz w:val="28"/>
          <w:szCs w:val="28"/>
          <w:shd w:val="clear" w:fill="FFFFFF"/>
        </w:rPr>
        <w:t>把县域作为城乡融合发展的重要切入点，科学编制国土空间规划，因地制宜合理安排建设用地规模、结构和布局及配套公共服务设施、基础设施，有效保障农村产业融合发展用地需要。规模较大、工业化程度高、分散布局配套设施成本高的产业项目要进产业园区；具有一定规模的农产品加工要向县城或有条件的乡镇城镇开发边界内集聚；直接服务种植养殖业的农产品加工、电子商务、仓储保鲜冷链、产地低温直销配送等产业，原则上应集中在行政村村庄建设边界内；利用农村本地资源开展农产品初加工、发展休闲观光旅游而必须的配套设施建设，可在不占用永久基本农田和生态保护红线、不突破国土空间规划建设用地指标等约束条件、不破坏生态环境和乡村风貌的前提下，在村庄建设边界外安排少量建设用地，实行比例和面积控制，并依法办理农用地转用审批和供地手续。具体用地准入条件、退出条件等由各省（区、市）制定，并可根据休闲观光等产业的业态特点和地方实际探索供地新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b/>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8"/>
          <w:szCs w:val="28"/>
          <w:shd w:val="clear" w:fill="FFFFFF"/>
        </w:rPr>
        <w:t>三、拓展集体建设用地使用途径。</w:t>
      </w:r>
      <w:r>
        <w:rPr>
          <w:rFonts w:hint="eastAsia" w:asciiTheme="minorEastAsia" w:hAnsiTheme="minorEastAsia" w:eastAsiaTheme="minorEastAsia" w:cstheme="minorEastAsia"/>
          <w:i w:val="0"/>
          <w:caps w:val="0"/>
          <w:color w:val="333333"/>
          <w:spacing w:val="0"/>
          <w:sz w:val="28"/>
          <w:szCs w:val="28"/>
          <w:shd w:val="clear" w:fill="FFFFFF"/>
        </w:rPr>
        <w:t>农村集体经济组织兴办企业或者与其他单位、个人以土地使用权入股、联营等形式共同举办企业的，可以依据《土地管理法》第六十条规定使用规划确定的建设用地。单位或者个人也可以按照国家统一部署，通过集体经营性建设用地入市的渠道，以出让、出租等方式使用集体建设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b/>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8"/>
          <w:szCs w:val="28"/>
          <w:shd w:val="clear" w:fill="FFFFFF"/>
        </w:rPr>
        <w:t>四、大力盘活农村存量建设用地。</w:t>
      </w:r>
      <w:r>
        <w:rPr>
          <w:rFonts w:hint="eastAsia" w:asciiTheme="minorEastAsia" w:hAnsiTheme="minorEastAsia" w:eastAsiaTheme="minorEastAsia" w:cstheme="minorEastAsia"/>
          <w:i w:val="0"/>
          <w:caps w:val="0"/>
          <w:color w:val="333333"/>
          <w:spacing w:val="0"/>
          <w:sz w:val="28"/>
          <w:szCs w:val="28"/>
          <w:shd w:val="clear" w:fill="FFFFFF"/>
        </w:rPr>
        <w:t>在充分尊重农民意愿的前提下，可依据国土空间规划，以乡镇或村为单位开展全域土地综合整治，盘活农村存量建设用地，腾挪空间用于支持农村产业融合发展和乡村振兴。探索在农民集体依法妥善处理原有用地相关权利人的利益关系后，将符合规划的存量集体建设用地，按照农村集体经营性建设用地入市。在符合国土空间规划前提下，鼓励对依法登记的宅基地等农村建设用地进行复合利用，发展乡村民宿、农产品初加工、电子商务等农村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b/>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8"/>
          <w:szCs w:val="28"/>
          <w:shd w:val="clear" w:fill="FFFFFF"/>
        </w:rPr>
        <w:t>五、保障设施农业发展用地。</w:t>
      </w:r>
      <w:r>
        <w:rPr>
          <w:rFonts w:hint="eastAsia" w:asciiTheme="minorEastAsia" w:hAnsiTheme="minorEastAsia" w:eastAsiaTheme="minorEastAsia" w:cstheme="minorEastAsia"/>
          <w:i w:val="0"/>
          <w:caps w:val="0"/>
          <w:color w:val="333333"/>
          <w:spacing w:val="0"/>
          <w:sz w:val="28"/>
          <w:szCs w:val="28"/>
          <w:shd w:val="clear" w:fill="FFFFFF"/>
        </w:rPr>
        <w:t>支持现代农业发展，农业生产中直接用于作物种植和畜禽水产养殖的设施用地，可按照《关于设施农业用地管理有关问题的通知》（自然资规〔2019〕4号）要求使用。对于作物种植和畜禽水产养殖设施建设对耕地耕作层造成破坏的，应认定为农业设施建设用地并加强管理。农村产业融合发展所需建设用地不符合设施农业用地要求的，应依法办理农用地转用审批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b/>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8"/>
          <w:szCs w:val="28"/>
          <w:shd w:val="clear" w:fill="FFFFFF"/>
        </w:rPr>
        <w:t>六、优化用地审批和规划许可流程。</w:t>
      </w:r>
      <w:r>
        <w:rPr>
          <w:rFonts w:hint="eastAsia" w:asciiTheme="minorEastAsia" w:hAnsiTheme="minorEastAsia" w:eastAsiaTheme="minorEastAsia" w:cstheme="minorEastAsia"/>
          <w:i w:val="0"/>
          <w:caps w:val="0"/>
          <w:color w:val="333333"/>
          <w:spacing w:val="0"/>
          <w:sz w:val="28"/>
          <w:szCs w:val="28"/>
          <w:shd w:val="clear" w:fill="FFFFFF"/>
        </w:rPr>
        <w:t>在村庄建设边界外，具备必要的基础设施条件、使用规划预留建设用地指标的农村产业融合发展项目，在不占用永久基本农田、严守生态保护红线、不破坏历史风貌和影响自然环境安全的前提下，可暂不做规划调整；市县要优先安排农村产业融合发展新增建设用地计划，不足的由省（区、市）统筹解决；办理用地审批手续时，可不办理用地预审与选址意见书；除依法应当以招标拍卖挂牌等方式公开出让的土地外，可将建设用地批准和规划许可手续合并办理，核发规划许可证书，并申请办理不动产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b/>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8"/>
          <w:szCs w:val="28"/>
          <w:shd w:val="clear" w:fill="FFFFFF"/>
        </w:rPr>
        <w:t>七、强化用地监管。</w:t>
      </w:r>
      <w:r>
        <w:rPr>
          <w:rFonts w:hint="eastAsia" w:asciiTheme="minorEastAsia" w:hAnsiTheme="minorEastAsia" w:eastAsiaTheme="minorEastAsia" w:cstheme="minorEastAsia"/>
          <w:i w:val="0"/>
          <w:caps w:val="0"/>
          <w:color w:val="333333"/>
          <w:spacing w:val="0"/>
          <w:sz w:val="28"/>
          <w:szCs w:val="28"/>
          <w:shd w:val="clear" w:fill="FFFFFF"/>
        </w:rPr>
        <w:t>落实最严格的耕地保护制度，坚决制止耕地“非农化”行为，严禁违规占用耕地进行农村产业建设，防止耕地“非粮化”，不得造成耕地污染。农村产业融合发展用地不得用于商品住宅、别墅、酒店、公寓等房地产开发，不得擅自改变用途或分割转让转租。各级自然资源主管部门要将农村产业融合发展用地情况纳入国土空间基础信息平台和国土空间规划“一张图”进行动态监管，并结合国土变更调查进行年度评估。各地对村庄建设边界外分散布局的用地管理，要与本通知一致。各省（区、市）要结合实际制订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rPr>
        <w:t xml:space="preserve">自然资源部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rPr>
        <w:t>国家发展改革委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shd w:val="clear" w:fill="FFFFFF"/>
        </w:rPr>
        <w:t>农业农村部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shd w:val="clear" w:fill="FFFFFF"/>
        </w:rPr>
        <w:t>2021年1月28日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6F7394"/>
    <w:rsid w:val="5ED34B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2021-03-18T08:00:15Z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