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361" w:firstLineChars="100"/>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助力临港新片区 上海城投首批生态环境项目开工</w:t>
      </w:r>
    </w:p>
    <w:p>
      <w:pPr>
        <w:pStyle w:val="2"/>
        <w:rPr>
          <w:rFonts w:hint="eastAsia" w:ascii="宋体" w:hAnsi="宋体" w:cstheme="minorBidi"/>
          <w:b/>
          <w:snapToGrid w:val="0"/>
          <w:color w:val="FF0000"/>
          <w:kern w:val="0"/>
          <w:sz w:val="36"/>
          <w:szCs w:val="36"/>
          <w:shd w:val="clear" w:color="auto" w:fill="FFFFFF"/>
          <w:lang w:val="en-US" w:eastAsia="zh-CN" w:bidi="ar-SA"/>
        </w:rPr>
      </w:pPr>
    </w:p>
    <w:p>
      <w:pPr>
        <w:pStyle w:val="2"/>
        <w:ind w:firstLine="2880" w:firstLineChars="1200"/>
        <w:jc w:val="both"/>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来源：看看新闻网</w:t>
      </w: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-132080</wp:posOffset>
                </wp:positionH>
                <wp:positionV relativeFrom="paragraph">
                  <wp:posOffset>123190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4pt;margin-top:9.7pt;height:0.35pt;width:433.95pt;z-index:251657216;mso-width-relative:page;mso-height-relative:page;" filled="f" stroked="t" coordsize="21600,21600" o:gfxdata="UEsDBAoAAAAAAIdO4kAAAAAAAAAAAAAAAAAEAAAAZHJzL1BLAwQUAAAACACHTuJA+LBaK9cAAAAJ&#10;AQAADwAAAGRycy9kb3ducmV2LnhtbE2PzU7DMBCE70i8g7VIXKrWTqighDg9ALlxoYC4buMliYjX&#10;aez+wNOznOA4mtHMN+X65Ad1oCn2gS1kCwOKuAmu59bC60s9X4GKCdnhEJgsfFGEdXV+VmLhwpGf&#10;6bBJrZISjgVa6FIaC61j05HHuAgjsXgfYfKYRE6tdhMepdwPOjfmWnvsWRY6HOm+o+Zzs/cWYv1G&#10;u/p71szM+1UbKN89PD2itZcXmbkDleiU/sLwiy/oUAnTNuzZRTVYmOdG0JMYt0tQElgtbzJQWwu5&#10;yUBXpf7/oPoBUEsDBBQAAAAIAIdO4kBRh1uw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B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BaK9cAAAAJAQAADwAAAAAAAAABACAAAAAiAAAA&#10;ZHJzL2Rvd25yZXYueG1sUEsBAhQAFAAAAAgAh07iQFGHW7D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据介绍，为满足临港新片区日益增加的用水需求、提升临港地区供水格局、提高供水安全保障。上海城投集团此次为新片区打造一座高标准的自来水厂，项目包含新建一座20万吨/日规模的水厂，以及配套的两路清水出厂管，预计2021年底建成。重点服务临港新片区南部区域，并辐射整个临港地区。为有源头活水来，临港水厂的原水将从青草沙水源地引入，对标国际一流城市目标，探索应用自来水领域最新技术，实现</w:t>
      </w:r>
      <w:r>
        <w:rPr>
          <w:rFonts w:hint="eastAsia" w:cs="宋体"/>
          <w:snapToGrid w:val="0"/>
          <w:color w:val="000000"/>
          <w:kern w:val="0"/>
          <w:sz w:val="24"/>
          <w:lang w:val="en-US" w:eastAsia="zh-CN"/>
        </w:rPr>
        <w:t>“</w:t>
      </w:r>
      <w:r>
        <w:rPr>
          <w:rFonts w:hint="eastAsia" w:ascii="宋体" w:hAnsi="宋体" w:cs="宋体"/>
          <w:snapToGrid w:val="0"/>
          <w:color w:val="000000"/>
          <w:kern w:val="0"/>
          <w:sz w:val="24"/>
          <w:lang w:val="en-US" w:eastAsia="zh-CN"/>
        </w:rPr>
        <w:t>常规+深度处理</w:t>
      </w:r>
      <w:r>
        <w:rPr>
          <w:rFonts w:hint="eastAsia" w:cs="宋体"/>
          <w:snapToGrid w:val="0"/>
          <w:color w:val="000000"/>
          <w:kern w:val="0"/>
          <w:sz w:val="24"/>
          <w:lang w:val="en-US" w:eastAsia="zh-CN"/>
        </w:rPr>
        <w:t>”</w:t>
      </w:r>
      <w:r>
        <w:rPr>
          <w:rFonts w:hint="eastAsia" w:ascii="宋体" w:hAnsi="宋体" w:cs="宋体"/>
          <w:snapToGrid w:val="0"/>
          <w:color w:val="000000"/>
          <w:kern w:val="0"/>
          <w:sz w:val="24"/>
          <w:lang w:val="en-US" w:eastAsia="zh-CN"/>
        </w:rPr>
        <w:t>净水工艺的结合，多屏障、多措施确保供水水质。并且将充分运用先进科技，将云计算、大数据、BIM等技术贯穿建设、生产、运行、维护、调度等全过程，真正实现一体化设计、数字化运营，打造智能</w:t>
      </w:r>
      <w:r>
        <w:rPr>
          <w:rFonts w:hint="eastAsia" w:cs="宋体"/>
          <w:snapToGrid w:val="0"/>
          <w:color w:val="000000"/>
          <w:kern w:val="0"/>
          <w:sz w:val="24"/>
          <w:lang w:val="en-US" w:eastAsia="zh-CN"/>
        </w:rPr>
        <w:t>“</w:t>
      </w:r>
      <w:r>
        <w:rPr>
          <w:rFonts w:hint="eastAsia" w:ascii="宋体" w:hAnsi="宋体" w:cs="宋体"/>
          <w:snapToGrid w:val="0"/>
          <w:color w:val="000000"/>
          <w:kern w:val="0"/>
          <w:sz w:val="24"/>
          <w:lang w:val="en-US" w:eastAsia="zh-CN"/>
        </w:rPr>
        <w:t>无人</w:t>
      </w:r>
      <w:r>
        <w:rPr>
          <w:rFonts w:hint="eastAsia" w:cs="宋体"/>
          <w:snapToGrid w:val="0"/>
          <w:color w:val="000000"/>
          <w:kern w:val="0"/>
          <w:sz w:val="24"/>
          <w:lang w:val="en-US" w:eastAsia="zh-CN"/>
        </w:rPr>
        <w:t>”</w:t>
      </w:r>
      <w:r>
        <w:rPr>
          <w:rFonts w:hint="eastAsia" w:ascii="宋体" w:hAnsi="宋体" w:cs="宋体"/>
          <w:snapToGrid w:val="0"/>
          <w:color w:val="000000"/>
          <w:kern w:val="0"/>
          <w:sz w:val="24"/>
          <w:lang w:val="en-US" w:eastAsia="zh-CN"/>
        </w:rPr>
        <w:t>值守水厂，明显下降能耗，实现绿色环保、降本增效。</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为解决扩建后临港污水厂的尾水排放问题并满足国家对生态环境保护新要求，此次新建的排海管工程，排污口深海设置，实行离岸排放。与此同时，上海市新一轮的水功能区划对临港新片区区域防汛排涝、水动力和水环境提出了更高的要求。下一步，上海城投还将在城市公共服务建设为临港新片区的建设及运管提供全方位保障。</w:t>
      </w:r>
    </w:p>
    <w:p>
      <w:pPr>
        <w:pStyle w:val="2"/>
        <w:rPr>
          <w:rFonts w:hint="eastAsia" w:ascii="宋体" w:hAnsi="宋体" w:cs="宋体"/>
          <w:snapToGrid w:val="0"/>
          <w:color w:val="000000"/>
          <w:kern w:val="0"/>
          <w:sz w:val="24"/>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中天城投助力贵州打造“夏季国际性会展中心”</w:t>
      </w:r>
    </w:p>
    <w:p>
      <w:pPr>
        <w:pStyle w:val="2"/>
        <w:rPr>
          <w:rFonts w:hint="eastAsia" w:ascii="宋体" w:hAnsi="宋体" w:eastAsiaTheme="minorEastAsia" w:cstheme="minorBidi"/>
          <w:b/>
          <w:snapToGrid w:val="0"/>
          <w:color w:val="FF0000"/>
          <w:kern w:val="0"/>
          <w:sz w:val="36"/>
          <w:szCs w:val="36"/>
          <w:shd w:val="clear" w:color="auto" w:fill="FFFFFF"/>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center"/>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来源：央广网</w:t>
      </w: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118110</wp:posOffset>
                </wp:positionV>
                <wp:extent cx="5511165" cy="4445"/>
                <wp:effectExtent l="0" t="0" r="0" b="0"/>
                <wp:wrapNone/>
                <wp:docPr id="3"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5pt;margin-top:9.3pt;height:0.35pt;width:433.95pt;z-index:251657216;mso-width-relative:page;mso-height-relative:page;" filled="f" stroked="t" coordsize="21600,21600" o:gfxdata="UEsDBAoAAAAAAIdO4kAAAAAAAAAAAAAAAAAEAAAAZHJzL1BLAwQUAAAACACHTuJAtH8UFtUAAAAH&#10;AQAADwAAAGRycy9kb3ducmV2LnhtbE2OvU7DQBCEeyTe4bRINFFyTgKWY3xOAbijIYDSbnyLbeHb&#10;c3yXH3h6lipUq9kZzXzF+ux6daQxdJ4NzGcJKOLa244bA+9v1TQDFSKyxd4zGfimAOvy+qrA3PoT&#10;v9JxExslJRxyNNDGOORah7olh2HmB2LxPv3oMIocG21HPEm56/UiSVLtsGNZaHGgx5bqr83BGQjV&#10;B+2rn0k9SbbLxtNi//TyjMbc3syTB1CRzvEShj98QYdSmHb+wDaoXvS9BOVkKSixs3R1B2onj9US&#10;dFno//zlL1BLAwQUAAAACACHTuJA7aUevtABAACQAwAADgAAAGRycy9lMm9Eb2MueG1srVNLbtsw&#10;EN0X6B0I7mtZjhW0guUs4qabojXQ9gBjkpII8AcOY9ln6TW66qbHyTU6pB2nn01QVAtqyHl8mvdm&#10;tLo5WMP2KqL2ruP1bM6ZcsJL7YaOf/l89+o1Z5jASTDeqY4fFfKb9csXqym0auFHb6SKjEgctlPo&#10;+JhSaKsKxags4MwH5SjZ+2gh0TYOlYwwEbs11WI+v64mH2WIXihEOt2cknxd+PteifSx71ElZjpO&#10;taWyxrLu8lqtV9AOEcKoxbkM+IcqLGhHH71QbSABu4/6LyqrRfTo+zQT3la+77VQRQOpqed/qPk0&#10;QlBFC5mD4WIT/j9a8WG/jUzLjl9x5sBSix6+fnv4/oNdZW+mgC1Bbt02nncYtjELPfTR5jdJYIfi&#10;5/HipzokJuiwaeq6vm44E5RbLpdNpqye7oaI6Z3yluWg40a7rBZa2L/HdII+QvKxcWzq+JtmkRmB&#10;hqU3kCi0gcpHN5S76I2Wd9qYfAPjsLs1ke0ht7885xJ+g+WPbADHE66kMgzaUYF86yRLx0DGOJpg&#10;nkuwSnJmFA18jgoygTbPQZJ648iEbOzJyhztvDxSG+5D1MNITtSlypyhthfLziOa5+rXfWF6+pH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0fxQW1QAAAAcBAAAPAAAAAAAAAAEAIAAAACIAAABk&#10;cnMvZG93bnJldi54bWxQSwECFAAUAAAACACHTuJA7aUevtABAACQAwAADgAAAAAAAAABACAAAAAk&#10;AQAAZHJzL2Uyb0RvYy54bWxQSwUGAAAAAAYABgBZAQAAZgU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default" w:ascii="宋体" w:hAnsi="宋体" w:cs="宋体"/>
          <w:snapToGrid w:val="0"/>
          <w:color w:val="000000"/>
          <w:kern w:val="0"/>
          <w:sz w:val="24"/>
          <w:lang w:val="en-US" w:eastAsia="zh-CN"/>
        </w:rPr>
        <w:t>近日，贵州省政府印发《贵州省服务业创新发展十大工程行动方案》（以下简称“行动方案”），明确将会展纳入全省服务业创新发展工作中，计划“到2022年，全省会展业实现直接经济效益85亿元，综合经济效益760亿元，企业达到2万户，就业人数达到22万人，全省会展业市场化率达90%，专业化率达70%。”这无疑给受疫情影响严重的会展业打了一剂“强心针”，为会展经济提供了强有力的政策支持。</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default" w:ascii="宋体" w:hAnsi="宋体" w:cs="宋体"/>
          <w:snapToGrid w:val="0"/>
          <w:color w:val="000000"/>
          <w:kern w:val="0"/>
          <w:sz w:val="24"/>
          <w:lang w:val="en-US" w:eastAsia="zh-CN"/>
        </w:rPr>
      </w:pPr>
      <w:r>
        <w:rPr>
          <w:rFonts w:hint="default" w:ascii="宋体" w:hAnsi="宋体" w:cs="宋体"/>
          <w:snapToGrid w:val="0"/>
          <w:color w:val="000000"/>
          <w:kern w:val="0"/>
          <w:sz w:val="24"/>
          <w:lang w:val="en-US" w:eastAsia="zh-CN"/>
        </w:rPr>
        <w:t>6月21日，为期两天的贵阳第九届安团家博会，在中天城投集团旗下贵阳国际会议展览中心圆满落幕。展会汇集了140多家参展商参展，吸引了市民前来参观，销售额达1.1亿元，撬动了贵阳市家装家居市场消费。作为今年疫情以来贵阳举行的首展，贵阳国际会议展览中心打响了贵阳会展经济“第一枪”，释放了会展业复苏信号，有效提振了行业信心。</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贵阳市2010年提出打造“中国夏季会展名城”，2011年中天城投集团投建的贵阳国际会议展览中心应时而生，标志着贵阳现代会展业的起步。贵阳国际会议展览中心是集展览、会议、餐饮等多功能为一体的会展综合体，是贵州最大的会展项目，总建筑面积约28万平方米，其中展馆面积12万平方米，由室内标准展馆和室外广场组成，室内展馆包括1个登录大厅和8个独立展厅，室外广场面积为4万平方米，可设标准展位约6000个。</w:t>
      </w:r>
      <w:bookmarkStart w:id="0" w:name="_GoBack"/>
      <w:bookmarkEnd w:id="0"/>
    </w:p>
    <w:p>
      <w:pPr>
        <w:pStyle w:val="2"/>
        <w:rPr>
          <w:rFonts w:hint="eastAsia"/>
          <w:lang w:val="en-US" w:eastAsia="zh-CN"/>
        </w:rPr>
      </w:pPr>
    </w:p>
    <w:p>
      <w:pPr>
        <w:rPr>
          <w:rFonts w:hint="eastAsia" w:ascii="宋体" w:hAnsi="宋体" w:eastAsiaTheme="minorEastAsia" w:cstheme="minorBidi"/>
          <w:color w:val="000000"/>
          <w:kern w:val="2"/>
          <w:sz w:val="24"/>
          <w:szCs w:val="24"/>
          <w:lang w:val="en-US" w:eastAsia="zh-CN" w:bidi="ar-SA"/>
        </w:rPr>
      </w:pPr>
    </w:p>
    <w:p>
      <w:pPr>
        <w:pStyle w:val="2"/>
        <w:rPr>
          <w:rFonts w:hint="eastAsia" w:ascii="宋体" w:hAnsi="宋体" w:eastAsiaTheme="minorEastAsia" w:cstheme="minorBidi"/>
          <w:color w:val="000000"/>
          <w:kern w:val="2"/>
          <w:sz w:val="24"/>
          <w:szCs w:val="24"/>
          <w:lang w:val="en-US" w:eastAsia="zh-CN" w:bidi="ar-SA"/>
        </w:rPr>
      </w:pP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w:t>
      </w:r>
      <w:r>
        <w:rPr>
          <w:rFonts w:hint="eastAsia" w:ascii="宋体" w:hAnsi="宋体" w:cstheme="minorBidi"/>
          <w:color w:val="000000"/>
          <w:kern w:val="2"/>
          <w:sz w:val="24"/>
          <w:szCs w:val="24"/>
          <w:lang w:val="en-US" w:eastAsia="zh-CN" w:bidi="ar-SA"/>
        </w:rPr>
        <w:t>20</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6</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29</w:t>
      </w:r>
      <w:r>
        <w:rPr>
          <w:rFonts w:hint="eastAsia" w:ascii="宋体" w:hAnsi="宋体" w:eastAsiaTheme="minorEastAsia" w:cstheme="minorBidi"/>
          <w:color w:val="000000"/>
          <w:kern w:val="2"/>
          <w:sz w:val="24"/>
          <w:szCs w:val="24"/>
          <w:lang w:val="en-US" w:eastAsia="zh-CN" w:bidi="ar-SA"/>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415CE0"/>
    <w:rsid w:val="03802FAA"/>
    <w:rsid w:val="05605221"/>
    <w:rsid w:val="0B49215B"/>
    <w:rsid w:val="0C1510B5"/>
    <w:rsid w:val="0C323478"/>
    <w:rsid w:val="0C8B726C"/>
    <w:rsid w:val="0CCF11AA"/>
    <w:rsid w:val="106814C6"/>
    <w:rsid w:val="11B2016B"/>
    <w:rsid w:val="11B25936"/>
    <w:rsid w:val="11C26D1D"/>
    <w:rsid w:val="135711B6"/>
    <w:rsid w:val="1C077BB4"/>
    <w:rsid w:val="1D644D34"/>
    <w:rsid w:val="21D167FF"/>
    <w:rsid w:val="24093C83"/>
    <w:rsid w:val="25140E91"/>
    <w:rsid w:val="2661183B"/>
    <w:rsid w:val="26D66E8E"/>
    <w:rsid w:val="298433C2"/>
    <w:rsid w:val="2B4E6124"/>
    <w:rsid w:val="2BC96687"/>
    <w:rsid w:val="2DCF4E54"/>
    <w:rsid w:val="2ECA5F7D"/>
    <w:rsid w:val="2F1D4CC3"/>
    <w:rsid w:val="387E2BC0"/>
    <w:rsid w:val="3AD010DD"/>
    <w:rsid w:val="42D84824"/>
    <w:rsid w:val="467D421D"/>
    <w:rsid w:val="48D21008"/>
    <w:rsid w:val="4CEB02D2"/>
    <w:rsid w:val="53410626"/>
    <w:rsid w:val="5E0D378B"/>
    <w:rsid w:val="5EBB0E8D"/>
    <w:rsid w:val="5F1E5AC5"/>
    <w:rsid w:val="602C7E0F"/>
    <w:rsid w:val="60C01E77"/>
    <w:rsid w:val="64CF6463"/>
    <w:rsid w:val="6CE1567F"/>
    <w:rsid w:val="70594F33"/>
    <w:rsid w:val="713016CA"/>
    <w:rsid w:val="72662AEE"/>
    <w:rsid w:val="767203B6"/>
    <w:rsid w:val="782A0984"/>
    <w:rsid w:val="7CE10643"/>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jc w:val="both"/>
    </w:pPr>
    <w:rPr>
      <w:kern w:val="2"/>
      <w:sz w:val="21"/>
      <w:szCs w:val="24"/>
    </w:rPr>
  </w:style>
  <w:style w:type="paragraph" w:styleId="3">
    <w:name w:val="Body Text Indent"/>
    <w:basedOn w:val="1"/>
    <w:qFormat/>
    <w:uiPriority w:val="0"/>
    <w:pPr>
      <w:ind w:left="420" w:leftChars="200"/>
    </w:pPr>
    <w:rPr>
      <w:kern w:val="2"/>
      <w:sz w:val="21"/>
      <w:szCs w:val="24"/>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rFonts w:hint="eastAsia" w:ascii="宋体" w:hAnsi="宋体" w:eastAsia="宋体" w:cs="宋体"/>
      <w:color w:val="333333"/>
      <w:u w:val="none"/>
    </w:rPr>
  </w:style>
  <w:style w:type="character" w:styleId="14">
    <w:name w:val="Emphasis"/>
    <w:basedOn w:val="10"/>
    <w:qFormat/>
    <w:uiPriority w:val="0"/>
    <w:rPr>
      <w:i/>
    </w:rPr>
  </w:style>
  <w:style w:type="character" w:styleId="15">
    <w:name w:val="Hyperlink"/>
    <w:basedOn w:val="10"/>
    <w:qFormat/>
    <w:uiPriority w:val="0"/>
    <w:rPr>
      <w:rFonts w:hint="eastAsia" w:ascii="宋体" w:hAnsi="宋体" w:eastAsia="宋体" w:cs="宋体"/>
      <w:color w:val="333333"/>
      <w:u w:val="none"/>
    </w:rPr>
  </w:style>
  <w:style w:type="character" w:styleId="16">
    <w:name w:val="HTML Code"/>
    <w:basedOn w:val="10"/>
    <w:qFormat/>
    <w:uiPriority w:val="0"/>
    <w:rPr>
      <w:rFonts w:ascii="Courier New" w:hAnsi="Courier New"/>
      <w:sz w:val="20"/>
    </w:rPr>
  </w:style>
  <w:style w:type="character" w:styleId="17">
    <w:name w:val="HTML Cite"/>
    <w:basedOn w:val="10"/>
    <w:qFormat/>
    <w:uiPriority w:val="0"/>
    <w:rPr>
      <w:i/>
    </w:rPr>
  </w:style>
  <w:style w:type="character" w:customStyle="1" w:styleId="18">
    <w:name w:val="bds_more"/>
    <w:basedOn w:val="10"/>
    <w:qFormat/>
    <w:uiPriority w:val="0"/>
  </w:style>
  <w:style w:type="character" w:customStyle="1" w:styleId="19">
    <w:name w:val="bds_nopic"/>
    <w:basedOn w:val="10"/>
    <w:qFormat/>
    <w:uiPriority w:val="0"/>
  </w:style>
  <w:style w:type="character" w:customStyle="1" w:styleId="20">
    <w:name w:val="bds_nopic1"/>
    <w:basedOn w:val="10"/>
    <w:qFormat/>
    <w:uiPriority w:val="0"/>
  </w:style>
  <w:style w:type="character" w:customStyle="1" w:styleId="21">
    <w:name w:val="bds_nopic2"/>
    <w:basedOn w:val="10"/>
    <w:qFormat/>
    <w:uiPriority w:val="0"/>
  </w:style>
  <w:style w:type="character" w:customStyle="1" w:styleId="22">
    <w:name w:val="current"/>
    <w:basedOn w:val="10"/>
    <w:qFormat/>
    <w:uiPriority w:val="0"/>
    <w:rPr>
      <w:b/>
      <w:color w:val="666666"/>
      <w:bdr w:val="single" w:color="E0E0E0" w:sz="6" w:space="0"/>
      <w:shd w:val="clear" w:fill="F0F0F0"/>
    </w:rPr>
  </w:style>
  <w:style w:type="character" w:customStyle="1" w:styleId="23">
    <w:name w:val="disabled"/>
    <w:basedOn w:val="10"/>
    <w:qFormat/>
    <w:uiPriority w:val="0"/>
    <w:rPr>
      <w:color w:val="CCCCCC"/>
      <w:bdr w:val="single" w:color="DBDADA" w:sz="6" w:space="0"/>
    </w:rPr>
  </w:style>
  <w:style w:type="character" w:customStyle="1" w:styleId="24">
    <w:name w:val="tab_active"/>
    <w:basedOn w:val="10"/>
    <w:qFormat/>
    <w:uiPriority w:val="0"/>
    <w:rPr>
      <w:color w:val="666666"/>
    </w:rPr>
  </w:style>
  <w:style w:type="character" w:customStyle="1" w:styleId="25">
    <w:name w:val="current2"/>
    <w:basedOn w:val="10"/>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2020-09-29T07:56:27Z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