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eastAsiaTheme="minorEastAsia" w:cstheme="minorBidi"/>
          <w:color w:val="000000"/>
          <w:kern w:val="2"/>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泰州城投“牵手”中江装配</w:t>
      </w:r>
    </w:p>
    <w:p>
      <w:pPr>
        <w:pStyle w:val="2"/>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center"/>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来源：泰州日报</w:t>
      </w:r>
    </w:p>
    <w:p>
      <w:pPr>
        <w:pStyle w:val="2"/>
        <w:rPr>
          <w:rFonts w:hint="eastAsia"/>
          <w:lang w:val="en-US" w:eastAsia="zh-CN"/>
        </w:rPr>
      </w:pPr>
    </w:p>
    <w:p>
      <w:pPr>
        <w:pStyle w:val="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46990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65pt;margin-top:3.7pt;height:0.35pt;width:433.95pt;z-index:251657216;mso-width-relative:page;mso-height-relative:page;" filled="f" stroked="t" coordsize="21600,21600" o:gfxdata="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l0CCfVAAAABgEAAA8AAAAAAAAAAQAgAAAAIgAAAGRy&#10;cy9kb3ducmV2LnhtbFBLAQIUABQAAAAIAIdO4kDZSMWVzwEAAJADAAAOAAAAAAAAAAEAIAAAACQB&#10;AABkcnMvZTJvRG9jLnhtbFBLBQYAAAAABgAGAFkBAABlBQ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5月3日，中江装配式建筑科技股份有限公司和泰州城投集团举行股权合作签约仪式。</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中江国际集团是省属大型国有企业，是国内一流、国际知名的工程建筑类企业，旗下中江装配式建筑公司目前已经建成为周边省份规模最大，品类最全的装配式建筑公司。泰州城投集团是泰州城市建设和土地开发经营的主要平台。此次合作，泰州城投集团将入股中江装配式建筑公司，同时双方还将在贸易和供应链上进行深度合作。</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此次泰州城投集团与中江装配式建筑公司的股权合作，既能充分依托中江集团在工程领域的强大资源、研发、专业和人才优势，为我市基础设施项目建设提供有力支撑，又能促进省市两级国企的深度融合，有利于地方国企融入省级大型国企的生产链、供应链和价值链，充分发挥股权合作模式的聚焦和示范作用，对加深双方的战略合作具有十分重要的意义。</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bookmarkStart w:id="0" w:name="_GoBack"/>
      <w:bookmarkEnd w:id="0"/>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云投集团“鲸吞”云南城投</w:t>
      </w:r>
    </w:p>
    <w:p>
      <w:pPr>
        <w:pStyle w:val="2"/>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center"/>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来源：乐居财经</w:t>
      </w:r>
    </w:p>
    <w:p>
      <w:pPr>
        <w:pStyle w:val="2"/>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64770</wp:posOffset>
                </wp:positionH>
                <wp:positionV relativeFrom="paragraph">
                  <wp:posOffset>130810</wp:posOffset>
                </wp:positionV>
                <wp:extent cx="5511165" cy="4445"/>
                <wp:effectExtent l="0" t="0" r="0" b="0"/>
                <wp:wrapNone/>
                <wp:docPr id="5"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1pt;margin-top:10.3pt;height:0.35pt;width:433.95pt;z-index:251657216;mso-width-relative:page;mso-height-relative:page;" filled="f" stroked="t" coordsize="21600,21600" o:gfxdata="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V4heXVAAAACAEAAA8AAAAAAAAAAQAgAAAAIgAAAGRy&#10;cy9kb3ducmV2LnhtbFBLAQIUABQAAAAIAIdO4kBlaoCbzwEAAJADAAAOAAAAAAAAAAEAIAAAACQB&#10;AABkcnMvZTJvRG9jLnhtbFBLBQYAAAAABgAGAFkBAABlBQAAAAA=&#10;">
                <v:fill on="f" focussize="0,0"/>
                <v:stroke color="#000000" joinstyle="round"/>
                <v:imagedata o:title=""/>
                <o:lock v:ext="edit" aspectratio="f"/>
              </v:line>
            </w:pict>
          </mc:Fallback>
        </mc:AlternateConten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5月14日，云南城投置业股份有限公司（600239.SH，下称“云南城投置业”）公告称，云南省国资委将持有的云南省城市建设投资集团有限公司（下称“云南城投集团”）50.59%股权，划转注入云南省投资控股集团有限公司（下称“云投集团”）；云南省国资委下属公司持有省城投集团的40%股权回划至云南省国资委。</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b/>
          <w:bCs/>
          <w:snapToGrid w:val="0"/>
          <w:color w:val="000000"/>
          <w:kern w:val="0"/>
          <w:sz w:val="24"/>
          <w:lang w:val="en-US" w:eastAsia="zh-CN"/>
        </w:rPr>
      </w:pPr>
      <w:r>
        <w:rPr>
          <w:rFonts w:hint="eastAsia" w:ascii="宋体" w:hAnsi="宋体" w:cs="宋体"/>
          <w:b/>
          <w:bCs/>
          <w:snapToGrid w:val="0"/>
          <w:color w:val="000000"/>
          <w:kern w:val="0"/>
          <w:sz w:val="24"/>
          <w:lang w:val="en-US" w:eastAsia="zh-CN"/>
        </w:rPr>
        <w:t>辗转十年，重回云投怀抱</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从最新的股权结构可以看出，相比此前由云南省国资委直接持股50.59%，股权调整后的云南城投集团直接大股东变为云投集团。其与云南省国资委的联系多了云投集团这个“中间人”，从这个层面上讲，云南城投集团可以说是被“降级”。</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自2009年从云投集团旗下脱离，直接成为云南省国资委直接监管的省属国企，兜兜转转十年后，云南城投集团又一次回到了云投集团的怀抱。</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十年中，云南城投集团确实获得了跨越式的发展。以云南城投集团旗下重要的上市平台云南城投为例，自2009年-2019年，该公司的资产从不足百亿增长至近900亿，十年间，资产规模增长了近10倍。</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随之而来的，云南城投的资产负债率也在猛增，从2009年的61.45%增长至2019年的93.75%。据云南城投集团的官网显示，截至2019年，集团的总资产2794亿元，累计实现收入1800亿元，实现利润170亿元。</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巨额的负债，让云南城投近段时间以来，一直在忙于出售资产，甚至试图在集团层面实行混改引入投资者。但随着保利卫飚在5月初的离开，云南城投集团的混改无疾而终。</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b/>
          <w:bCs/>
          <w:snapToGrid w:val="0"/>
          <w:color w:val="000000"/>
          <w:kern w:val="0"/>
          <w:sz w:val="24"/>
          <w:lang w:val="en-US" w:eastAsia="zh-CN"/>
        </w:rPr>
      </w:pPr>
      <w:r>
        <w:rPr>
          <w:rFonts w:hint="eastAsia" w:ascii="宋体" w:hAnsi="宋体" w:cs="宋体"/>
          <w:b/>
          <w:bCs/>
          <w:snapToGrid w:val="0"/>
          <w:color w:val="000000"/>
          <w:kern w:val="0"/>
          <w:sz w:val="24"/>
          <w:lang w:val="en-US" w:eastAsia="zh-CN"/>
        </w:rPr>
        <w:t>瞄准文旅、康养龙头企业</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乐居财经此前报道，云南地方政府已接过保利的“手术刀”，启动云南城投的“自救”。根据4月26日云南媒体报道，云南城投集团被云南省委、省政府重新定位为打造全省文化旅游和健康服务2个万亿级产业龙头企业，该集团随即获得首期30亿元现金注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云投集团前身为云南省开发投资有限公司，于1997年9月5日注册成立，2007年9月更名为云南省投资控股集团有限公司，现注册资本241.7亿元。官网显示，云投集团投资领域包括信息产业、金融产业、能源及贸易物流、医疗大健康及生物医疗产业、现代农林产业、文化旅游体育产业等。</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截至2019年12月31日，云投集团合并资产规模3746亿元，合并收入1285亿元，在云南省重点项目建设中累计完成投资超过1944亿元，累计融资突破3914亿元。</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此次回归成为云南城投集团直接控股股东，云投集团并不参与该公司的内部人事及管理，而是委托云南省国资委管理。</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据了解，除了持有云南城投集团50.59%股权对应的财产权、处置权，云投集团的股东权利，包括股东提案权/召集权、董事/监事提名/表决权、股东会表决权等均授权委托云南省国资委行使。同时，云投集团暂不向云南城投集团委派董事、监事及高级管理人员。云南城投集团原管理方式不发生变化，仍然作为云南省直属骨干企业由云南省国资委直接管理。</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那么，云投集团成为云南城投集团直接控股股东的意义何在？一位业内人士分析，为了解救云南城投于危难之中，除了企业管治，资金是最重要的因素。云投集团的意义或者正在于此。</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据了解，在今年4月30日云南城投集团的干部大会上，云南省委常委、常务副省长宗国英就表示，云南省委、省政府将对城投集团打出一系列组合拳，包括现金注资、优质资产注入、低效资产剥离等。</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今年4月16日，云南省政府召开的省属企业改革发展金融工作座谈会上，云南城投集团被定位为打造成为云南省文化旅游、健康服务万亿级产业的龙头企业。而云投集团作为统筹云南省“大公益、大金融、大数据、大文旅、大康养”五大核心主业的国有资本投资运营平台，将能推动云南城投集团文旅、康养产业的整合发展。</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jc w:val="righ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right"/>
        <w:textAlignment w:val="auto"/>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2020年5月29日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left="0" w:leftChars="0" w:right="0" w:rightChars="0" w:firstLine="482"/>
        <w:jc w:val="left"/>
        <w:textAlignment w:val="auto"/>
        <w:rPr>
          <w:rFonts w:hint="eastAsia" w:ascii="宋体" w:hAnsi="宋体" w:cs="宋体"/>
          <w:snapToGrid w:val="0"/>
          <w:color w:val="000000"/>
          <w:kern w:val="0"/>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61183B"/>
    <w:rsid w:val="26D66E8E"/>
    <w:rsid w:val="298433C2"/>
    <w:rsid w:val="2B4E6124"/>
    <w:rsid w:val="2BC96687"/>
    <w:rsid w:val="2DCF4E54"/>
    <w:rsid w:val="2ECA5F7D"/>
    <w:rsid w:val="2F1D4CC3"/>
    <w:rsid w:val="387E2BC0"/>
    <w:rsid w:val="3AD010DD"/>
    <w:rsid w:val="42D84824"/>
    <w:rsid w:val="467D421D"/>
    <w:rsid w:val="480B25EE"/>
    <w:rsid w:val="48D21008"/>
    <w:rsid w:val="4CEB02D2"/>
    <w:rsid w:val="53410626"/>
    <w:rsid w:val="5E0D378B"/>
    <w:rsid w:val="5EBB0E8D"/>
    <w:rsid w:val="5F1E5AC5"/>
    <w:rsid w:val="602C7E0F"/>
    <w:rsid w:val="60C01E77"/>
    <w:rsid w:val="64CF6463"/>
    <w:rsid w:val="6CE1567F"/>
    <w:rsid w:val="70594F33"/>
    <w:rsid w:val="713016CA"/>
    <w:rsid w:val="72662AEE"/>
    <w:rsid w:val="767203B6"/>
    <w:rsid w:val="782A0984"/>
    <w:rsid w:val="7CE10643"/>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jc w:val="both"/>
    </w:pPr>
    <w:rPr>
      <w:kern w:val="2"/>
      <w:sz w:val="21"/>
      <w:szCs w:val="24"/>
    </w:rPr>
  </w:style>
  <w:style w:type="paragraph" w:styleId="3">
    <w:name w:val="Body Text Indent"/>
    <w:basedOn w:val="1"/>
    <w:qFormat/>
    <w:uiPriority w:val="0"/>
    <w:pPr>
      <w:ind w:left="420" w:leftChars="200"/>
    </w:pPr>
    <w:rPr>
      <w:kern w:val="2"/>
      <w:sz w:val="21"/>
      <w:szCs w:val="24"/>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rFonts w:hint="eastAsia" w:ascii="宋体" w:hAnsi="宋体" w:eastAsia="宋体" w:cs="宋体"/>
      <w:color w:val="333333"/>
      <w:u w:val="none"/>
    </w:rPr>
  </w:style>
  <w:style w:type="character" w:styleId="14">
    <w:name w:val="Emphasis"/>
    <w:basedOn w:val="10"/>
    <w:qFormat/>
    <w:uiPriority w:val="0"/>
    <w:rPr>
      <w:i/>
    </w:rPr>
  </w:style>
  <w:style w:type="character" w:styleId="15">
    <w:name w:val="Hyperlink"/>
    <w:basedOn w:val="10"/>
    <w:qFormat/>
    <w:uiPriority w:val="0"/>
    <w:rPr>
      <w:rFonts w:hint="eastAsia" w:ascii="宋体" w:hAnsi="宋体" w:eastAsia="宋体" w:cs="宋体"/>
      <w:color w:val="333333"/>
      <w:u w:val="none"/>
    </w:rPr>
  </w:style>
  <w:style w:type="character" w:styleId="16">
    <w:name w:val="HTML Code"/>
    <w:basedOn w:val="10"/>
    <w:qFormat/>
    <w:uiPriority w:val="0"/>
    <w:rPr>
      <w:rFonts w:ascii="Courier New" w:hAnsi="Courier New"/>
      <w:sz w:val="20"/>
    </w:rPr>
  </w:style>
  <w:style w:type="character" w:styleId="17">
    <w:name w:val="HTML Cite"/>
    <w:basedOn w:val="10"/>
    <w:qFormat/>
    <w:uiPriority w:val="0"/>
    <w:rPr>
      <w:i/>
    </w:rPr>
  </w:style>
  <w:style w:type="character" w:customStyle="1" w:styleId="18">
    <w:name w:val="bds_more"/>
    <w:basedOn w:val="10"/>
    <w:qFormat/>
    <w:uiPriority w:val="0"/>
  </w:style>
  <w:style w:type="character" w:customStyle="1" w:styleId="19">
    <w:name w:val="bds_nopic"/>
    <w:basedOn w:val="10"/>
    <w:qFormat/>
    <w:uiPriority w:val="0"/>
  </w:style>
  <w:style w:type="character" w:customStyle="1" w:styleId="20">
    <w:name w:val="bds_nopic1"/>
    <w:basedOn w:val="10"/>
    <w:qFormat/>
    <w:uiPriority w:val="0"/>
  </w:style>
  <w:style w:type="character" w:customStyle="1" w:styleId="21">
    <w:name w:val="bds_nopic2"/>
    <w:basedOn w:val="10"/>
    <w:qFormat/>
    <w:uiPriority w:val="0"/>
  </w:style>
  <w:style w:type="character" w:customStyle="1" w:styleId="22">
    <w:name w:val="current"/>
    <w:basedOn w:val="10"/>
    <w:qFormat/>
    <w:uiPriority w:val="0"/>
    <w:rPr>
      <w:b/>
      <w:color w:val="666666"/>
      <w:bdr w:val="single" w:color="E0E0E0" w:sz="6" w:space="0"/>
      <w:shd w:val="clear" w:fill="F0F0F0"/>
    </w:rPr>
  </w:style>
  <w:style w:type="character" w:customStyle="1" w:styleId="23">
    <w:name w:val="disabled"/>
    <w:basedOn w:val="10"/>
    <w:qFormat/>
    <w:uiPriority w:val="0"/>
    <w:rPr>
      <w:color w:val="CCCCCC"/>
      <w:bdr w:val="single" w:color="DBDADA" w:sz="6" w:space="0"/>
    </w:rPr>
  </w:style>
  <w:style w:type="character" w:customStyle="1" w:styleId="24">
    <w:name w:val="tab_active"/>
    <w:basedOn w:val="10"/>
    <w:qFormat/>
    <w:uiPriority w:val="0"/>
    <w:rPr>
      <w:color w:val="666666"/>
    </w:rPr>
  </w:style>
  <w:style w:type="character" w:customStyle="1" w:styleId="25">
    <w:name w:val="current2"/>
    <w:basedOn w:val="10"/>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2020-09-29T07:58:23Z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