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助力“千亿城投”</w:t>
      </w:r>
      <w:r>
        <w:rPr>
          <w:rFonts w:hint="eastAsia" w:ascii="宋体" w:hAnsi="宋体" w:cstheme="minorBidi"/>
          <w:b/>
          <w:snapToGrid w:val="0"/>
          <w:color w:val="FF0000"/>
          <w:kern w:val="0"/>
          <w:sz w:val="36"/>
          <w:szCs w:val="36"/>
          <w:shd w:val="clear" w:color="auto" w:fill="FFFFFF"/>
          <w:lang w:val="en-US" w:eastAsia="zh-CN" w:bidi="ar-SA"/>
        </w:rPr>
        <w:t xml:space="preserve"> </w:t>
      </w:r>
      <w:r>
        <w:rPr>
          <w:rFonts w:hint="eastAsia" w:ascii="宋体" w:hAnsi="宋体" w:eastAsiaTheme="minorEastAsia" w:cstheme="minorBidi"/>
          <w:b/>
          <w:snapToGrid w:val="0"/>
          <w:color w:val="FF0000"/>
          <w:kern w:val="0"/>
          <w:sz w:val="36"/>
          <w:szCs w:val="36"/>
          <w:shd w:val="clear" w:color="auto" w:fill="FFFFFF"/>
          <w:lang w:val="en-US" w:eastAsia="zh-CN" w:bidi="ar-SA"/>
        </w:rPr>
        <w:t>长城物业携手上饶市城投集团布局城市化运营</w:t>
      </w:r>
    </w:p>
    <w:p>
      <w:pPr>
        <w:pStyle w:val="2"/>
        <w:rPr>
          <w:rFonts w:hint="eastAsia" w:ascii="宋体" w:hAnsi="宋体" w:eastAsiaTheme="minorEastAsia" w:cstheme="minorBidi"/>
          <w:color w:val="000000"/>
          <w:kern w:val="2"/>
          <w:sz w:val="24"/>
          <w:szCs w:val="24"/>
          <w:lang w:val="en-US" w:eastAsia="zh-CN" w:bidi="ar-SA"/>
        </w:rPr>
      </w:pPr>
    </w:p>
    <w:p>
      <w:pPr>
        <w:pStyle w:val="2"/>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来源：新浪网</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lef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3472882688" behindDoc="0" locked="0" layoutInCell="1" allowOverlap="1">
                <wp:simplePos x="0" y="0"/>
                <wp:positionH relativeFrom="column">
                  <wp:posOffset>-6350</wp:posOffset>
                </wp:positionH>
                <wp:positionV relativeFrom="paragraph">
                  <wp:posOffset>263525</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5pt;margin-top:20.75pt;height:0.35pt;width:433.95pt;z-index:-822084608;mso-width-relative:page;mso-height-relative:page;" filled="f" stroked="t" coordsize="21600,21600" o:gfxdata="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to2NN0wAAAAQBAAAPAAAAAAAAAAEAIAAAACIAAABkcnMv&#10;ZG93bnJldi54bWxQSwECFAAUAAAACACHTuJAUYdbsM8BAACQAwAADgAAAAAAAAABACAAAAAiAQAA&#10;ZHJzL2Uyb0RvYy54bWxQSwUGAAAAAAYABgBZAQAAYwU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2020年8月7日，长城物业集团携手上饶市城投集团共同成立了上饶市城投长城物业管理有限公司，并在上饶市高铁枢纽中心隆重举行了公司成立揭牌仪式。</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上饶城投集团成立于2002年6月18日，是上饶市政府直属的国有独资企业，布局基础设施、房地产开发、公共交通、医疗养老等，形成了规模庞大、生态完整的产业集群。上饶城投集团自成立以来，完成市重点工程有上饶市城市供水水源引水工程及城西、城南、经开区支线工程、市综合交通枢纽、老火车站棚改项目、紫阳公园、市民公园等等，实施项目达141个，计划总投资达617亿元，涵盖道路、桥梁、公园、停车场、文化、教育、卫生、安居、能源、环保、港口等领域。上饶市城投集团坚决贯彻新思想新理念，不断增强适应市场竞争，提升民生服务水平，不断开拓奋进，做强做优做大，是上饶市国有企业的一面旗帜，为上饶的改革发展做出了有目共睹的贡献。</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长城物业创立于1987年，秉承“让社区变得更美好”的组织使命，以“成为社区生活方式引领者”为愿景，恪守“诚意链接+满意服务”的核心价值观。经过33年的稳健发展，成为中国最大的现代物业服务集团企业之一。近十年来，集团综合实力一直稳居中国物业管理行业前列，且市场化运营连续十余年领跑行业。长城物业为社区提供服务的员工人数达三万多人，集团以“三精化”网格管理模式，着力打造“公域服务”、“私域服务”及“平台服务”三驾马车的社区生态发展模式，以“科技化+人性化”的双轮驱动发展思路，持续创新引领行业转型升级与发展。</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本次战略合作，是长城物业发展历程上的重要里程碑。近年来，长城物业与宁夏建设投资集团、济宁市城建投资公司、株洲城发集团等诸多城投公司达成战略合作，积累了扎实而丰富合作和运营经验。在与上饶市城投集团的合作中，长城物业将一如既往地传承市场化合作经验与管理模式，注入专业服务优势和生态发展优势，并与上饶市城投集团的产业布局优势、资源平台优势及可持续发展优势充分结合，为上饶市城投长城物业的长远发展保驾护航。基于城市运营和生态布局打造核心竞争力，上饶市城投长城物业将进入专业化、集约化、生态化战略发展的快车道。长城物业与上饶城投集团围绕共同的发展目标，坐在一条板凳上将双方资源优化整合，创新发展，将优势转化为胜势，提质增效，携手迈向更高层面的战略发展，助力上饶城投集团“千亿城投目标”早日实现。</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上海城投将加快长三角跨区域数据信息共享，全面参与水务、固废、综合交通专项规划对接</w:t>
      </w:r>
    </w:p>
    <w:p>
      <w:pPr>
        <w:pStyle w:val="2"/>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center"/>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w:t>
      </w:r>
      <w:r>
        <w:rPr>
          <w:rFonts w:hint="eastAsia" w:ascii="宋体" w:hAnsi="宋体" w:cstheme="minorBidi"/>
          <w:color w:val="000000"/>
          <w:kern w:val="2"/>
          <w:sz w:val="24"/>
          <w:szCs w:val="24"/>
          <w:lang w:val="en-US" w:eastAsia="zh-CN" w:bidi="ar-SA"/>
        </w:rPr>
        <w:t>界面新闻</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399140864" behindDoc="0" locked="0" layoutInCell="1" allowOverlap="1">
                <wp:simplePos x="0" y="0"/>
                <wp:positionH relativeFrom="column">
                  <wp:posOffset>111125</wp:posOffset>
                </wp:positionH>
                <wp:positionV relativeFrom="paragraph">
                  <wp:posOffset>335915</wp:posOffset>
                </wp:positionV>
                <wp:extent cx="5511165" cy="4445"/>
                <wp:effectExtent l="0" t="0" r="0" b="0"/>
                <wp:wrapNone/>
                <wp:docPr id="3"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8.75pt;margin-top:26.45pt;height:0.35pt;width:433.95pt;z-index:-1895826432;mso-width-relative:page;mso-height-relative:page;" filled="f" stroked="t" coordsize="21600,21600" o:gfxdata="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WOdy9YAAAAIAQAADwAAAAAAAAABACAAAAAiAAAA&#10;ZHJzL2Rvd25yZXYueG1sUEsBAhQAFAAAAAgAh07iQO2lHr7QAQAAkAMAAA4AAAAAAAAAAQAgAAAA&#10;JQEAAGRycy9lMm9Eb2MueG1sUEsFBgAAAAAGAAYAWQEAAGcFA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8月26日，第一届长三角生态绿色一体化发展示范区开发者大会“大都市圈发展和空间规划”分论坛上，上海城投向媒体披露了在长三角示范区内的一些项目进展和未来规划。</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上海城投将加快推进数字城投建设、一屏观城投，实现“智能+”应用场景，跨区域数据信息共享，提高管理运营维护的精细化、智慧化水平，打造善感知、会呼吸、有温度的智慧多维示范区。</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城投方面透露，集团现管辖上海市内11条高速公路、东海大桥及三个隧道，所辖收费高速公路占全市七成以上，其中S32申嘉湖、S26沪常、G40崇启三条跨省界高速公路与浙江、江苏连接，优化了接壤区域的公路网络，提升了长三角区域的通行效率。</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为保障长三角内河运输，充实综合立体交通体系，上海城投集团重点整治长湖申线（上海段）、杭申线（上海段）、平申线等航道，提升航道等级、改建跨航道桥梁。</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2020年1月1日0点，城投集团全力推进取消高速公路省界收费站应急工程完工，并完成全网切换，有效缓解了长三角高速公路省界的交通拥堵问题，提升了省际高速公路的通达水平。此外，上海城投集团充分发挥上海市“垃圾分类”和“两网融合”主力军的作用，积极践行“无废”新理念，整合固废转运和处置资源，一网“速”造无废新区，致力于把示范区打造成低碳循环新标杆。城投集团透露，在打造美丽长三角方面，上海城投集团已建成璟雲里项目并投放市场。</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该项目以“九州四海”为核心规划理念、“一带、四区、五轴、九岛”为功能布局，是低碳宜居、集聚活力的复合型滨水示范区。“璟雲里”项目既保留了传统江南民居建筑外形及礼制，同时引入了现代人居生活理念，为长三角生态绿色一体化发展示范区打造了高品质标杆产品。跨区域联动方面，上海城投表示将与上海市属、苏浙皖兄弟企业紧密联动、深度合作，共同加快补齐区域基础设施短板，建立全流程业务合作框架，做好长三角示范区的环境“管家”。</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上海城投将全面参与水务、固废、综合交通专项规划对接，提供从原水到供水、排水防涝到污水处理的全产业链水务一体化技术方案，提供生活垃圾、医废危废、土壤修复、再生资源回收利用等全类型全流程固废技术方案，提供联运统筹、点线通达的道路、航运立体综合交通网技术方案，以“管家+专家”式定制服务，助力长三角打造绿色城市发展的新高地、新标杆。</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righ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righ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w:t>
      </w:r>
      <w:r>
        <w:rPr>
          <w:rFonts w:hint="eastAsia" w:ascii="宋体" w:hAnsi="宋体" w:cstheme="minorBidi"/>
          <w:color w:val="000000"/>
          <w:kern w:val="2"/>
          <w:sz w:val="24"/>
          <w:szCs w:val="24"/>
          <w:lang w:val="en-US" w:eastAsia="zh-CN" w:bidi="ar-SA"/>
        </w:rPr>
        <w:t>20</w:t>
      </w:r>
      <w:r>
        <w:rPr>
          <w:rFonts w:hint="eastAsia" w:ascii="宋体" w:hAnsi="宋体" w:eastAsiaTheme="minorEastAsia" w:cstheme="minorBidi"/>
          <w:color w:val="000000"/>
          <w:kern w:val="2"/>
          <w:sz w:val="24"/>
          <w:szCs w:val="24"/>
          <w:lang w:val="en-US" w:eastAsia="zh-CN" w:bidi="ar-SA"/>
        </w:rPr>
        <w:t>年</w:t>
      </w:r>
      <w:r>
        <w:rPr>
          <w:rFonts w:hint="eastAsia" w:ascii="宋体" w:hAnsi="宋体" w:cstheme="minorBidi"/>
          <w:color w:val="000000"/>
          <w:kern w:val="2"/>
          <w:sz w:val="24"/>
          <w:szCs w:val="24"/>
          <w:lang w:val="en-US" w:eastAsia="zh-CN" w:bidi="ar-SA"/>
        </w:rPr>
        <w:t>9</w:t>
      </w:r>
      <w:r>
        <w:rPr>
          <w:rFonts w:hint="eastAsia" w:ascii="宋体" w:hAnsi="宋体" w:eastAsiaTheme="minorEastAsia" w:cstheme="minorBidi"/>
          <w:color w:val="000000"/>
          <w:kern w:val="2"/>
          <w:sz w:val="24"/>
          <w:szCs w:val="24"/>
          <w:lang w:val="en-US" w:eastAsia="zh-CN" w:bidi="ar-SA"/>
        </w:rPr>
        <w:t>月</w:t>
      </w:r>
      <w:r>
        <w:rPr>
          <w:rFonts w:hint="eastAsia" w:ascii="宋体" w:hAnsi="宋体" w:cstheme="minorBidi"/>
          <w:color w:val="000000"/>
          <w:kern w:val="2"/>
          <w:sz w:val="24"/>
          <w:szCs w:val="24"/>
          <w:lang w:val="en-US" w:eastAsia="zh-CN" w:bidi="ar-SA"/>
        </w:rPr>
        <w:t>29</w:t>
      </w:r>
      <w:bookmarkStart w:id="0" w:name="_GoBack"/>
      <w:bookmarkEnd w:id="0"/>
      <w:r>
        <w:rPr>
          <w:rFonts w:hint="eastAsia" w:ascii="宋体" w:hAnsi="宋体" w:eastAsiaTheme="minorEastAsia" w:cstheme="minorBidi"/>
          <w:color w:val="000000"/>
          <w:kern w:val="2"/>
          <w:sz w:val="24"/>
          <w:szCs w:val="24"/>
          <w:lang w:val="en-US" w:eastAsia="zh-CN" w:bidi="ar-SA"/>
        </w:rPr>
        <w:t>日</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right"/>
        <w:textAlignment w:val="auto"/>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3802FAA"/>
    <w:rsid w:val="05605221"/>
    <w:rsid w:val="0B49215B"/>
    <w:rsid w:val="0C1510B5"/>
    <w:rsid w:val="0C323478"/>
    <w:rsid w:val="0C8B726C"/>
    <w:rsid w:val="0CCF11AA"/>
    <w:rsid w:val="106814C6"/>
    <w:rsid w:val="11B2016B"/>
    <w:rsid w:val="11B25936"/>
    <w:rsid w:val="11C26D1D"/>
    <w:rsid w:val="135711B6"/>
    <w:rsid w:val="1C077BB4"/>
    <w:rsid w:val="1D644D34"/>
    <w:rsid w:val="21D167FF"/>
    <w:rsid w:val="24093C83"/>
    <w:rsid w:val="25140E91"/>
    <w:rsid w:val="2661183B"/>
    <w:rsid w:val="26D66E8E"/>
    <w:rsid w:val="298433C2"/>
    <w:rsid w:val="2B4E6124"/>
    <w:rsid w:val="2BC96687"/>
    <w:rsid w:val="2DCF4E54"/>
    <w:rsid w:val="2ECA5F7D"/>
    <w:rsid w:val="2F1D4CC3"/>
    <w:rsid w:val="387E2BC0"/>
    <w:rsid w:val="3AD010DD"/>
    <w:rsid w:val="42D84824"/>
    <w:rsid w:val="467D421D"/>
    <w:rsid w:val="48D21008"/>
    <w:rsid w:val="4CEB02D2"/>
    <w:rsid w:val="53410626"/>
    <w:rsid w:val="5EBB0E8D"/>
    <w:rsid w:val="5F1E5AC5"/>
    <w:rsid w:val="602C7E0F"/>
    <w:rsid w:val="60C01E77"/>
    <w:rsid w:val="6CE1567F"/>
    <w:rsid w:val="70594F33"/>
    <w:rsid w:val="713016CA"/>
    <w:rsid w:val="72662AEE"/>
    <w:rsid w:val="767203B6"/>
    <w:rsid w:val="782A0984"/>
    <w:rsid w:val="7CE10643"/>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iPriority w:val="0"/>
    <w:pPr>
      <w:widowControl w:val="0"/>
      <w:ind w:firstLine="420"/>
      <w:jc w:val="both"/>
    </w:pPr>
    <w:rPr>
      <w:kern w:val="2"/>
      <w:sz w:val="21"/>
      <w:szCs w:val="24"/>
    </w:rPr>
  </w:style>
  <w:style w:type="paragraph" w:styleId="3">
    <w:name w:val="Body Text Indent"/>
    <w:basedOn w:val="1"/>
    <w:uiPriority w:val="0"/>
    <w:pPr>
      <w:ind w:left="420" w:leftChars="200"/>
    </w:pPr>
    <w:rPr>
      <w:kern w:val="2"/>
      <w:sz w:val="21"/>
      <w:szCs w:val="24"/>
    </w:rPr>
  </w:style>
  <w:style w:type="paragraph" w:styleId="6">
    <w:name w:val="footer"/>
    <w:basedOn w:val="1"/>
    <w:uiPriority w:val="0"/>
    <w:pPr>
      <w:tabs>
        <w:tab w:val="center" w:pos="4153"/>
        <w:tab w:val="right" w:pos="8306"/>
      </w:tabs>
      <w:snapToGrid w:val="0"/>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kern w:val="2"/>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uiPriority w:val="0"/>
  </w:style>
  <w:style w:type="character" w:styleId="13">
    <w:name w:val="FollowedHyperlink"/>
    <w:basedOn w:val="10"/>
    <w:qFormat/>
    <w:uiPriority w:val="0"/>
    <w:rPr>
      <w:rFonts w:hint="eastAsia" w:ascii="宋体" w:hAnsi="宋体" w:eastAsia="宋体" w:cs="宋体"/>
      <w:color w:val="333333"/>
      <w:u w:val="none"/>
    </w:rPr>
  </w:style>
  <w:style w:type="character" w:styleId="14">
    <w:name w:val="Emphasis"/>
    <w:basedOn w:val="10"/>
    <w:qFormat/>
    <w:uiPriority w:val="0"/>
    <w:rPr>
      <w:i/>
    </w:rPr>
  </w:style>
  <w:style w:type="character" w:styleId="15">
    <w:name w:val="Hyperlink"/>
    <w:basedOn w:val="10"/>
    <w:qFormat/>
    <w:uiPriority w:val="0"/>
    <w:rPr>
      <w:rFonts w:hint="eastAsia" w:ascii="宋体" w:hAnsi="宋体" w:eastAsia="宋体" w:cs="宋体"/>
      <w:color w:val="333333"/>
      <w:u w:val="none"/>
    </w:rPr>
  </w:style>
  <w:style w:type="character" w:styleId="16">
    <w:name w:val="HTML Code"/>
    <w:basedOn w:val="10"/>
    <w:qFormat/>
    <w:uiPriority w:val="0"/>
    <w:rPr>
      <w:rFonts w:ascii="Courier New" w:hAnsi="Courier New"/>
      <w:sz w:val="20"/>
    </w:rPr>
  </w:style>
  <w:style w:type="character" w:styleId="17">
    <w:name w:val="HTML Cite"/>
    <w:basedOn w:val="10"/>
    <w:qFormat/>
    <w:uiPriority w:val="0"/>
    <w:rPr>
      <w:i/>
    </w:rPr>
  </w:style>
  <w:style w:type="character" w:customStyle="1" w:styleId="18">
    <w:name w:val="bds_more"/>
    <w:basedOn w:val="10"/>
    <w:qFormat/>
    <w:uiPriority w:val="0"/>
  </w:style>
  <w:style w:type="character" w:customStyle="1" w:styleId="19">
    <w:name w:val="bds_nopic"/>
    <w:basedOn w:val="10"/>
    <w:qFormat/>
    <w:uiPriority w:val="0"/>
  </w:style>
  <w:style w:type="character" w:customStyle="1" w:styleId="20">
    <w:name w:val="bds_nopic1"/>
    <w:basedOn w:val="10"/>
    <w:qFormat/>
    <w:uiPriority w:val="0"/>
  </w:style>
  <w:style w:type="character" w:customStyle="1" w:styleId="21">
    <w:name w:val="bds_nopic2"/>
    <w:basedOn w:val="10"/>
    <w:qFormat/>
    <w:uiPriority w:val="0"/>
  </w:style>
  <w:style w:type="character" w:customStyle="1" w:styleId="22">
    <w:name w:val="current"/>
    <w:basedOn w:val="10"/>
    <w:qFormat/>
    <w:uiPriority w:val="0"/>
    <w:rPr>
      <w:b/>
      <w:color w:val="666666"/>
      <w:bdr w:val="single" w:color="E0E0E0" w:sz="6" w:space="0"/>
      <w:shd w:val="clear" w:fill="F0F0F0"/>
    </w:rPr>
  </w:style>
  <w:style w:type="character" w:customStyle="1" w:styleId="23">
    <w:name w:val="disabled"/>
    <w:basedOn w:val="10"/>
    <w:qFormat/>
    <w:uiPriority w:val="0"/>
    <w:rPr>
      <w:color w:val="CCCCCC"/>
      <w:bdr w:val="single" w:color="DBDADA" w:sz="6" w:space="0"/>
    </w:rPr>
  </w:style>
  <w:style w:type="character" w:customStyle="1" w:styleId="24">
    <w:name w:val="tab_active"/>
    <w:basedOn w:val="10"/>
    <w:qFormat/>
    <w:uiPriority w:val="0"/>
    <w:rPr>
      <w:color w:val="666666"/>
    </w:rPr>
  </w:style>
  <w:style w:type="character" w:customStyle="1" w:styleId="25">
    <w:name w:val="current2"/>
    <w:basedOn w:val="10"/>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2020-09-29T07:30:34Z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