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云南城投放弃14.87亿优先受让闻泰科技相应地产资产</w: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来源：观点地产网</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64240128" behindDoc="0" locked="0" layoutInCell="1" allowOverlap="1">
                <wp:simplePos x="0" y="0"/>
                <wp:positionH relativeFrom="column">
                  <wp:posOffset>3810</wp:posOffset>
                </wp:positionH>
                <wp:positionV relativeFrom="paragraph">
                  <wp:posOffset>203835</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pt;margin-top:16.05pt;height:0.35pt;width:433.95pt;z-index:264240128;mso-width-relative:page;mso-height-relative:page;" filled="f" stroked="t" coordsize="21600,21600" o:gfxdata="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9N7D0wAAAAYBAAAPAAAAAAAAAAEAIAAAACIAAABkcnMv&#10;ZG93bnJldi54bWxQSwECFAAUAAAACACHTuJAleCUos8BAACQAwAADgAAAAAAAAABACAAAAAiAQAA&#10;ZHJzL2Uyb0RvYy54bWxQSwUGAAAAAAYABgBZAQAAYwUAAAAA&#10;">
                <v:fill on="f" focussize="0,0"/>
                <v:stroke color="#000000" joinstyle="round"/>
                <v:imagedata o:title=""/>
                <o:lock v:ext="edit" aspectratio="f"/>
              </v:line>
            </w:pict>
          </mc:Fallback>
        </mc:AlternateContent>
      </w:r>
      <w:r>
        <w:rPr>
          <w:rFonts w:hint="eastAsia" w:ascii="宋体" w:hAnsi="宋体" w:eastAsiaTheme="minorEastAsia" w:cstheme="minorBidi"/>
          <w:color w:val="000000"/>
          <w:kern w:val="2"/>
          <w:sz w:val="24"/>
          <w:szCs w:val="24"/>
          <w:lang w:val="en-US" w:eastAsia="zh-CN" w:bidi="ar-SA"/>
        </w:rPr>
        <w:t xml:space="preserve"> </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xml:space="preserve">    5月22日，云南城投置业股份有限公司称，经公司当日董事会审议，公司放弃优先受让闻泰科技股份有限公司与房地产业务相关的资产及股权。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据了解，该公司控股股东云南省城市建设投资集团有限公司可指定其控股子公司受让闻泰科技持有的磁湖项目相关资产及在6家子公司中持有的相关股权。为避免同业竞争，云南城投可获得上述标的资产和标的股权的优先受让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资料显示，闻泰科技在6家子公司中持有的相关股权包括中茵昌盛49%股权、徐州中茵88.5913%股权、淮安中茵100%股权、兰博基尼酒店公司100%股权、林芝中茵100%股权及江苏中茵大健康100%股权。</w:t>
      </w:r>
    </w:p>
    <w:p>
      <w:pPr>
        <w:tabs>
          <w:tab w:val="left" w:pos="4680"/>
        </w:tabs>
        <w:spacing w:line="500" w:lineRule="exact"/>
        <w:ind w:firstLine="480" w:firstLineChars="200"/>
        <w:jc w:val="left"/>
        <w:rPr>
          <w:rFonts w:hint="eastAsia" w:ascii="宋体" w:hAnsi="宋体"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另闻泰科技持有的位于湖北省黄石市的磁湖项目相关资产，包括土地使用权、在建工程、房屋、固定资产、标的资产涉及项目开发资料等。标的资产账面价值6.99亿元，评估价值4.33亿元。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观点地产新媒体查阅获悉，上述标的资产和标的股权的预估转让价格合计为14.87亿元。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本次拟收购的标的资产和标的股权，经可行性研究分析，预计总投资87.9亿元，累计已投入约42.2亿，后续还需再投入约45.7亿，预计总销售收入86.55亿元，预计可实现开发净利润4.27亿元，持有5.6万平方米商业、10.56万平方米酒店、2.6万平方米办公楼，即获得持有资产20.32亿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公告称，经该公司5月22日第八届董事会第二十七次会议审议通过，云南城投拟放弃该次交易的优先受让权。省城投集团将自行或指定其他控股子公司受让标的资产及标的股权。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至于放弃原因，云南城投称，本次收购涉及的项目位于湖北黄石、江苏徐州和淮安，且包括大量政府代建项目和已完工项目，非公司战略选择重点区域和项目储备类型。同时，标的资产对价14.87亿元，项目后续投入达45.7亿元，资金需求量大，投资回收期较长，且酒店、商业、办公楼等持有资产较大将给公司造成一定的现金流压力。</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云南城投与万科等设立合资公司 开发云南旅游度假项目</w:t>
      </w:r>
      <w:r>
        <w:rPr>
          <w:rFonts w:hint="eastAsia" w:ascii="宋体" w:hAnsi="宋体" w:eastAsia="宋体" w:cs="宋体"/>
          <w:b w:val="0"/>
          <w:i w:val="0"/>
          <w:caps w:val="0"/>
          <w:color w:val="999999"/>
          <w:spacing w:val="0"/>
          <w:sz w:val="18"/>
          <w:szCs w:val="18"/>
          <w:bdr w:val="none" w:color="auto" w:sz="0" w:space="0"/>
          <w:shd w:val="clear" w:fill="FFFFFF"/>
        </w:rPr>
        <w:br w:type="textWrapping"/>
      </w:r>
      <w:r>
        <w:rPr>
          <w:rFonts w:hint="eastAsia" w:ascii="宋体" w:hAnsi="宋体" w:eastAsiaTheme="minorEastAsia" w:cstheme="minorBidi"/>
          <w:color w:val="000000"/>
          <w:kern w:val="2"/>
          <w:sz w:val="24"/>
          <w:szCs w:val="24"/>
          <w:lang w:val="en-US" w:eastAsia="zh-CN" w:bidi="ar-SA"/>
        </w:rPr>
        <w:t>来源：</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"http://yn.yunnan.cn/html/2018-05/23/content_5217782.htm" \t "http://news.ifeng.com/a/20180524/_blank"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云南网</w:t>
      </w:r>
      <w:r>
        <w:rPr>
          <w:rFonts w:hint="eastAsia" w:ascii="宋体" w:hAnsi="宋体" w:eastAsiaTheme="minorEastAsia" w:cstheme="minorBidi"/>
          <w:color w:val="000000"/>
          <w:kern w:val="2"/>
          <w:sz w:val="24"/>
          <w:szCs w:val="24"/>
          <w:lang w:val="en-US" w:eastAsia="zh-CN" w:bidi="ar-SA"/>
        </w:rPr>
        <w:fldChar w:fldCharType="end"/>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76823040" behindDoc="0" locked="0" layoutInCell="1" allowOverlap="1">
                <wp:simplePos x="0" y="0"/>
                <wp:positionH relativeFrom="column">
                  <wp:posOffset>89535</wp:posOffset>
                </wp:positionH>
                <wp:positionV relativeFrom="paragraph">
                  <wp:posOffset>133985</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5pt;margin-top:10.55pt;height:0.35pt;width:433.95pt;z-index:276823040;mso-width-relative:page;mso-height-relative:page;" filled="f" stroked="t" coordsize="21600,21600" o:gfxdata="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vFzMtMAAAAIAQAADwAAAAAAAAABACAAAAAiAAAAZHJz&#10;L2Rvd25yZXYueG1sUEsBAhQAFAAAAAgAh07iQO2lHr7QAQAAkAMAAA4AAAAAAAAAAQAgAAAAIgEA&#10;AGRycy9lMm9Eb2MueG1sUEsFBgAAAAAGAAYAWQEAAGQ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云南城投(证券代码：600239)置业股份有限公司5月22日公告宣布，公司出资2520万元参与设立合资公司，合资公司将参与云南澄江太阳山国际生态旅游休闲度假社区项目合作开发。</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公告称，公司拟与百年置业、云岭天籁、昆明万科及招商财富共同出资设立万城百年，万城百年注册资本6,300万元，其中：公司与昆明万科分别现金出资2,520万元，各自持股40%；招商财富现金出资1,197万元，持股19%；百年置业与云岭天籁分别现金出资31.5万元，各自持股0.5%。</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记者获悉，万城百年经营范围为项目投资及对所投资的项目进行管理，房地产开发及经营，万城百年董事会由5名董事组成，公司及昆明万科分别委派2名董事，百年置业及云岭天籁共同委派1名董事，董事长由公司提名的董事担任；总经理是万城百年法定代表人，由昆明万科提名委派；监事会由3名监事组成，公司及昆明万科分别委派1名，百年置业及云岭天籁共同委派1名；财务负责人由昆明万科委派。</w:t>
      </w:r>
      <w:bookmarkStart w:id="0" w:name="_GoBack"/>
      <w:bookmarkEnd w:id="0"/>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2018年5月28日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AE5389A"/>
    <w:rsid w:val="1C077BB4"/>
    <w:rsid w:val="1D644D34"/>
    <w:rsid w:val="21D167FF"/>
    <w:rsid w:val="24093C83"/>
    <w:rsid w:val="25140E91"/>
    <w:rsid w:val="26D66E8E"/>
    <w:rsid w:val="298433C2"/>
    <w:rsid w:val="2B4E6124"/>
    <w:rsid w:val="2BC96687"/>
    <w:rsid w:val="2DCF4E54"/>
    <w:rsid w:val="2ECA5F7D"/>
    <w:rsid w:val="2F1D4CC3"/>
    <w:rsid w:val="387E2BC0"/>
    <w:rsid w:val="3A300C00"/>
    <w:rsid w:val="3AD010DD"/>
    <w:rsid w:val="467D421D"/>
    <w:rsid w:val="4CEB02D2"/>
    <w:rsid w:val="53410626"/>
    <w:rsid w:val="5EBB0E8D"/>
    <w:rsid w:val="5F1E5AC5"/>
    <w:rsid w:val="602C7E0F"/>
    <w:rsid w:val="60C01E77"/>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宋体" w:hAnsi="宋体" w:eastAsia="宋体" w:cs="宋体"/>
      <w:color w:val="333333"/>
      <w:u w:val="none"/>
    </w:rPr>
  </w:style>
  <w:style w:type="character" w:styleId="9">
    <w:name w:val="Hyperlink"/>
    <w:basedOn w:val="6"/>
    <w:qFormat/>
    <w:uiPriority w:val="0"/>
    <w:rPr>
      <w:rFonts w:hint="eastAsia" w:ascii="宋体" w:hAnsi="宋体" w:eastAsia="宋体" w:cs="宋体"/>
      <w:color w:val="333333"/>
      <w:u w:val="none"/>
    </w:rPr>
  </w:style>
  <w:style w:type="character" w:styleId="10">
    <w:name w:val="HTML Code"/>
    <w:basedOn w:val="6"/>
    <w:qFormat/>
    <w:uiPriority w:val="0"/>
    <w:rPr>
      <w:rFonts w:ascii="Courier New" w:hAnsi="Courier New"/>
      <w:sz w:val="20"/>
    </w:rPr>
  </w:style>
  <w:style w:type="character" w:styleId="11">
    <w:name w:val="HTML Cite"/>
    <w:basedOn w:val="6"/>
    <w:qFormat/>
    <w:uiPriority w:val="0"/>
    <w:rPr>
      <w:i/>
    </w:rPr>
  </w:style>
  <w:style w:type="character" w:customStyle="1" w:styleId="13">
    <w:name w:val="bds_more"/>
    <w:basedOn w:val="6"/>
    <w:qFormat/>
    <w:uiPriority w:val="0"/>
  </w:style>
  <w:style w:type="character" w:customStyle="1" w:styleId="14">
    <w:name w:val="bds_nopic"/>
    <w:basedOn w:val="6"/>
    <w:qFormat/>
    <w:uiPriority w:val="0"/>
  </w:style>
  <w:style w:type="character" w:customStyle="1" w:styleId="15">
    <w:name w:val="bds_nopic1"/>
    <w:basedOn w:val="6"/>
    <w:qFormat/>
    <w:uiPriority w:val="0"/>
  </w:style>
  <w:style w:type="character" w:customStyle="1" w:styleId="16">
    <w:name w:val="bds_nopic2"/>
    <w:basedOn w:val="6"/>
    <w:qFormat/>
    <w:uiPriority w:val="0"/>
  </w:style>
  <w:style w:type="character" w:customStyle="1" w:styleId="17">
    <w:name w:val="current"/>
    <w:basedOn w:val="6"/>
    <w:qFormat/>
    <w:uiPriority w:val="0"/>
    <w:rPr>
      <w:b/>
      <w:color w:val="666666"/>
      <w:bdr w:val="single" w:color="E0E0E0" w:sz="6" w:space="0"/>
      <w:shd w:val="clear" w:fill="F0F0F0"/>
    </w:rPr>
  </w:style>
  <w:style w:type="character" w:customStyle="1" w:styleId="18">
    <w:name w:val="disabled"/>
    <w:basedOn w:val="6"/>
    <w:qFormat/>
    <w:uiPriority w:val="0"/>
    <w:rPr>
      <w:color w:val="CCCCCC"/>
      <w:bdr w:val="single" w:color="DBDADA" w:sz="6" w:space="0"/>
    </w:rPr>
  </w:style>
  <w:style w:type="character" w:customStyle="1" w:styleId="19">
    <w:name w:val="tab_active"/>
    <w:basedOn w:val="6"/>
    <w:qFormat/>
    <w:uiPriority w:val="0"/>
    <w:rPr>
      <w:color w:val="666666"/>
    </w:rPr>
  </w:style>
  <w:style w:type="character" w:customStyle="1" w:styleId="20">
    <w:name w:val="current2"/>
    <w:basedOn w:val="6"/>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2018-07-03T01:21:58Z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