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城投集团：天津高速首家光储充一体化超级充电站</w:t>
      </w:r>
    </w:p>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正式投运</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学习强国</w:t>
      </w:r>
    </w:p>
    <w:p>
      <w:pPr>
        <w:pStyle w:val="10"/>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贯彻落实天津市“十项行动”，聚焦“盘活存量、扩大增量、提升质量”总要求，天津城市基础设施建设投资集团有限公司（以下简称：城投集团）所属天津高速公路集团有限公司（以下简称：高速集团）将创新作为企业高质量发展的核心动力，以深化集团公司交通能源绿色转型为目标，积极响应国家“双碳”目标，近日，津蓟高速温泉城服务区光储充一体化超级充电站正式投入运营，对服务新能源车辆出行方式、加快实践绿色变革具有重要意义。</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该超级充电站共布局37个车位，其中34个客车车位，3个厢式货车充电车位，车棚内配备2个超快充充电桩与5个双枪快充充电桩，可满足不同类型新能源车主的使用需求。该站光储充车棚内充电桩采用新型的液冷超充充电桩，超快充充电桩最大可实现600千瓦超大功率充电，相较于市面常见的60千瓦快充桩，可将充电时间缩短近90%，充电10分钟基本可以实现为车辆提供420公里续航；快充充电桩最大可实现180千瓦超大功率充电，充电10分钟基本可以实现为车辆提供200公里续航，为服务市民美好出行再添助力。</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14"/>
        <w:rPr>
          <w:rFonts w:hint="eastAsia" w:ascii="宋体" w:hAnsi="宋体" w:eastAsia="宋体" w:cs="宋体"/>
          <w:snapToGrid w:val="0"/>
          <w:color w:val="000000"/>
          <w:kern w:val="0"/>
          <w:sz w:val="24"/>
          <w:szCs w:val="24"/>
          <w:lang w:val="en-US" w:eastAsia="zh-CN" w:bidi="ar-SA"/>
        </w:rPr>
      </w:pPr>
    </w:p>
    <w:p>
      <w:pPr>
        <w:pStyle w:val="7"/>
        <w:rPr>
          <w:rFonts w:hint="eastAsia" w:ascii="宋体" w:hAnsi="宋体" w:eastAsia="宋体" w:cs="宋体"/>
          <w:snapToGrid w:val="0"/>
          <w:color w:val="000000"/>
          <w:kern w:val="0"/>
          <w:sz w:val="24"/>
          <w:szCs w:val="24"/>
          <w:lang w:val="en-US" w:eastAsia="zh-CN" w:bidi="ar-SA"/>
        </w:rPr>
      </w:pPr>
    </w:p>
    <w:p>
      <w:pPr>
        <w:pStyle w:val="8"/>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14"/>
        <w:rPr>
          <w:rFonts w:hint="eastAsia" w:ascii="宋体" w:hAnsi="宋体" w:eastAsia="宋体" w:cs="宋体"/>
          <w:snapToGrid w:val="0"/>
          <w:color w:val="000000"/>
          <w:kern w:val="0"/>
          <w:sz w:val="24"/>
          <w:szCs w:val="24"/>
          <w:lang w:val="en-US" w:eastAsia="zh-CN" w:bidi="ar-SA"/>
        </w:rPr>
      </w:pPr>
    </w:p>
    <w:p>
      <w:pPr>
        <w:pStyle w:val="7"/>
        <w:rPr>
          <w:rFonts w:hint="eastAsia" w:ascii="宋体" w:hAnsi="宋体" w:eastAsia="宋体" w:cs="宋体"/>
          <w:snapToGrid w:val="0"/>
          <w:color w:val="000000"/>
          <w:kern w:val="0"/>
          <w:sz w:val="24"/>
          <w:szCs w:val="24"/>
          <w:lang w:val="en-US" w:eastAsia="zh-CN" w:bidi="ar-SA"/>
        </w:rPr>
      </w:pPr>
    </w:p>
    <w:p>
      <w:pPr>
        <w:pStyle w:val="8"/>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spacing w:val="-11"/>
          <w:kern w:val="0"/>
          <w:sz w:val="36"/>
          <w:szCs w:val="36"/>
          <w:shd w:val="clear" w:color="auto" w:fill="FFFFFF"/>
          <w:lang w:val="en-US" w:eastAsia="zh-CN" w:bidi="ar-SA"/>
        </w:rPr>
        <w:t>“以旧换新 双轮驱动”杭州上城城投集团“拓路”老城区高质量发展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fldChar w:fldCharType="begin"/>
      </w:r>
      <w:r>
        <w:rPr>
          <w:rFonts w:hint="eastAsia" w:ascii="宋体" w:hAnsi="宋体" w:cs="宋体"/>
          <w:snapToGrid w:val="0"/>
          <w:color w:val="000000"/>
          <w:kern w:val="0"/>
          <w:sz w:val="24"/>
          <w:szCs w:val="24"/>
          <w:lang w:val="en-US" w:eastAsia="zh-CN" w:bidi="ar-SA"/>
        </w:rPr>
        <w:instrText xml:space="preserve"> HYPERLINK "https://author.baidu.com/home?from=bjh_article&amp;app_id=1685412009967595" \t "https://baijiahao.baidu.com/_blank" </w:instrText>
      </w:r>
      <w:r>
        <w:rPr>
          <w:rFonts w:hint="eastAsia" w:ascii="宋体" w:hAnsi="宋体" w:cs="宋体"/>
          <w:snapToGrid w:val="0"/>
          <w:color w:val="000000"/>
          <w:kern w:val="0"/>
          <w:sz w:val="24"/>
          <w:szCs w:val="24"/>
          <w:lang w:val="en-US" w:eastAsia="zh-CN" w:bidi="ar-SA"/>
        </w:rPr>
        <w:fldChar w:fldCharType="separate"/>
      </w:r>
      <w:r>
        <w:rPr>
          <w:rFonts w:hint="eastAsia" w:ascii="宋体" w:hAnsi="宋体" w:cs="宋体"/>
          <w:snapToGrid w:val="0"/>
          <w:color w:val="000000"/>
          <w:kern w:val="0"/>
          <w:sz w:val="24"/>
          <w:szCs w:val="24"/>
          <w:lang w:val="en-US" w:eastAsia="zh-CN" w:bidi="ar-SA"/>
        </w:rPr>
        <w:t>银柿财经</w:t>
      </w:r>
      <w:r>
        <w:rPr>
          <w:rFonts w:hint="eastAsia" w:ascii="宋体" w:hAnsi="宋体" w:cs="宋体"/>
          <w:snapToGrid w:val="0"/>
          <w:color w:val="000000"/>
          <w:kern w:val="0"/>
          <w:sz w:val="24"/>
          <w:szCs w:val="24"/>
          <w:lang w:val="en-US" w:eastAsia="zh-CN" w:bidi="ar-SA"/>
        </w:rPr>
        <w:fldChar w:fldCharType="end"/>
      </w:r>
      <w:r>
        <w:rPr>
          <w:rFonts w:hint="eastAsia" w:ascii="宋体" w:hAnsi="宋体" w:cs="宋体"/>
          <w:snapToGrid w:val="0"/>
          <w:color w:val="000000"/>
          <w:kern w:val="0"/>
          <w:sz w:val="24"/>
          <w:szCs w:val="24"/>
          <w:lang w:val="en-US" w:eastAsia="zh-CN" w:bidi="ar-SA"/>
        </w:rPr>
        <w:t>网</w:t>
      </w:r>
      <w:bookmarkStart w:id="0" w:name="_GoBack"/>
      <w:bookmarkEnd w:id="0"/>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9月22日，中国上市公司协会学术顾问委员会学术研讨暨中国上市公司健康指数2023发布会在北京召开，杭州上城区城市建设投资集团有限公司（以下简称“上城城投集团”）参加了此次大会并在现场进行推介。</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我们上城区的望江新城，已竣工楼宇104万方、在建楼宇72万方，后备土地资源274亩，香港新世界等标杆项目正在加速推进。”杭州市上城区投资促进局局长王红兵在由浙报传媒地产研究院、银柿财经策划承办的大会分论坛之一——中关村国睿金融与产业发展研究会会员大会暨杭州市上城区高质量发展分享会上这样介绍了望江新城。</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而望江新城的建设主体正是上城城投集团。作为上城区区属首家获得国内双AAA最高信用评级、国际惠誉BBB信用评级的国有企业，上城城投集团于2021年9月正式挂牌成立，主要从事城建置业、项目开发、资产运营、投融资管理等相关业务，重点负责望江新城和艮北新城的开发。目前，上城城投集团依托城市建设与产业空间拓展的“双轮驱动”，累计营收逾80亿元，净利润达33亿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分享活动现场被推介的望江新城曾是杭州市中心最大的城中村和棚户区之一，随着近年来片区内旧城改造进程加快、征迁清零逐步完成，作为杭州拥江发展主战场，望江新城正在展开新篇章。近期，浙江省首批24个未来社区试点创建项目之一——始版桥未来社区安置房已进入竣工验收阶段，为提升未来社区“宜居度”，该社区周边除9所教育配套外，还在加快建设集综合公共服务于一体的邻里中心以及超万平方米的邻里公园。2023年上半年，为迎接杭州亚运会的到来，上城城投集团加快完成婺江路、清江路亚运保障道路整治任务以及望江新园一园外立面改造工程，进一步推动老城区有机更新。</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有效推进城市更新的同时，上城城投集团还将目光聚焦于产业布局的持续优化，依托望江新城拥江、临湖的区位优势，持续释放上城区总部经济高度集聚的能量，吸引了新世界、思科等世界500强企业落户于此，并通过精准招引优质企业与潜力项目，先后完成娃哈哈、永安国富等总部大楼项目的签约入驻。2019年，杭港（望江）高端服务业示范区在望江新城“安家落户”，与此同时，作为示范区的核心项目，新世界中国为杭州量身打造74万方城市坐标——新世界·城市艺术中心启动建设。该综合体汇集了K11 ART MALL购物艺术中心、甲级商厦K11 ATELIER、服务式公寓K11 ARTUS、ROSEWOOD瑰丽酒店、国际社区江明月朗园等新世界旗下知名品牌的旗舰项目。</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望江新城的产业项目进展得如火如荼，再将目光移向上城城投集团着力建设的另一颗“双子星”——艮北新城，一个与望江新城有着同样基因与痛点的老城区。自2010年城中村改造以来，该片区基本实现征迁清零。2022年3月23日，辖区内的李宁体育园正式面向公众开放，不仅提升了城市环境面貌，杭州全民健身氛围也愈加浓厚。据悉，这是上城城投集团联合央企中建投资、中建八局投资建造的体育主题公园，是杭州市首座PPP模式的全民健身体育公园。</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与此同时，艮北新城毗邻城东新城、钱塘智慧城的区位优势以及逐渐疏通的交通“老大难”问题，都在推动着该片区高质量发展不断“提速”，逐渐成长为上城区数字经济和智能制造等重点产业集聚地。2022年12月12日，物产天地新消费产业园正式交付，这是上城区首个由国企参与统筹开发的留用地项目，作为杭州新消费数字运营中心，该园区涵盖商务办公空间、超大型架空全明商业空间、新消费总部基地、云酒产业链平台和产业加速中心等区块，首批将有百余家“新消费”企业入驻。</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立足区域资源禀赋，破解区域发展痛点，在老城区建新产业，让城市面貌焕然一新，是中心城区实现高质量发展的必经之路，上城城投集团正在作为城市高质量发展的“拓路者”，积极打造一个更人文、更创新的发展样本。</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9月21日下午，上城区城投集团有关负责人等一行赴北京证券交易所参观学习，深入了解北交所“深改19条”发布后有关企业上市政策和监管规则方面的变化，并就产业发展、项目合作等主题进行了交流探讨，为进一步推动区属国企市场化、资本化夯实基础、对接资源。</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5824" w:firstLineChars="2427"/>
        <w:jc w:val="both"/>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9</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0E4F1D"/>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3D7078A2"/>
    <w:rsid w:val="4247545C"/>
    <w:rsid w:val="42D84824"/>
    <w:rsid w:val="43215475"/>
    <w:rsid w:val="441A3D4C"/>
    <w:rsid w:val="44B66D25"/>
    <w:rsid w:val="44FD6564"/>
    <w:rsid w:val="467D421D"/>
    <w:rsid w:val="480B25EE"/>
    <w:rsid w:val="4890330D"/>
    <w:rsid w:val="48D21008"/>
    <w:rsid w:val="4CEB02D2"/>
    <w:rsid w:val="4D227684"/>
    <w:rsid w:val="4D392193"/>
    <w:rsid w:val="4F1E5B63"/>
    <w:rsid w:val="53410626"/>
    <w:rsid w:val="53730655"/>
    <w:rsid w:val="54D61B74"/>
    <w:rsid w:val="54F17583"/>
    <w:rsid w:val="55B1257D"/>
    <w:rsid w:val="55C004DD"/>
    <w:rsid w:val="56BE2490"/>
    <w:rsid w:val="5A30331E"/>
    <w:rsid w:val="5B951F4C"/>
    <w:rsid w:val="5E0D378B"/>
    <w:rsid w:val="5EBB0E8D"/>
    <w:rsid w:val="5F1E5AC5"/>
    <w:rsid w:val="602C7E0F"/>
    <w:rsid w:val="60C01E77"/>
    <w:rsid w:val="61140174"/>
    <w:rsid w:val="63DE67DB"/>
    <w:rsid w:val="64CF6463"/>
    <w:rsid w:val="678E1AC9"/>
    <w:rsid w:val="69DD0A53"/>
    <w:rsid w:val="6C4C47FD"/>
    <w:rsid w:val="6CE1567F"/>
    <w:rsid w:val="6D3D22B1"/>
    <w:rsid w:val="6D84762F"/>
    <w:rsid w:val="70594F33"/>
    <w:rsid w:val="713016CA"/>
    <w:rsid w:val="71436B5E"/>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Body Text Indent"/>
    <w:basedOn w:val="1"/>
    <w:next w:val="10"/>
    <w:qFormat/>
    <w:uiPriority w:val="0"/>
    <w:pPr>
      <w:ind w:left="420" w:leftChars="200"/>
    </w:pPr>
    <w:rPr>
      <w:kern w:val="2"/>
      <w:sz w:val="21"/>
      <w:szCs w:val="24"/>
    </w:rPr>
  </w:style>
  <w:style w:type="paragraph" w:styleId="10">
    <w:name w:val="Body Text First Indent 2"/>
    <w:basedOn w:val="9"/>
    <w:next w:val="1"/>
    <w:qFormat/>
    <w:uiPriority w:val="0"/>
    <w:pPr>
      <w:widowControl w:val="0"/>
      <w:ind w:firstLine="420"/>
      <w:jc w:val="both"/>
    </w:pPr>
    <w:rPr>
      <w:kern w:val="2"/>
      <w:sz w:val="21"/>
      <w:szCs w:val="24"/>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4">
    <w:name w:val="footnote text"/>
    <w:basedOn w:val="1"/>
    <w:next w:val="7"/>
    <w:qFormat/>
    <w:uiPriority w:val="0"/>
    <w:pPr>
      <w:snapToGrid w:val="0"/>
      <w:jc w:val="left"/>
    </w:pPr>
    <w:rPr>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rFonts w:hint="eastAsia" w:ascii="宋体" w:hAnsi="宋体" w:eastAsia="宋体" w:cs="宋体"/>
      <w:color w:val="333333"/>
      <w:u w:val="none"/>
    </w:rPr>
  </w:style>
  <w:style w:type="character" w:styleId="22">
    <w:name w:val="Emphasis"/>
    <w:basedOn w:val="18"/>
    <w:qFormat/>
    <w:uiPriority w:val="0"/>
    <w:rPr>
      <w:i/>
    </w:rPr>
  </w:style>
  <w:style w:type="character" w:styleId="23">
    <w:name w:val="Hyperlink"/>
    <w:basedOn w:val="18"/>
    <w:qFormat/>
    <w:uiPriority w:val="0"/>
    <w:rPr>
      <w:rFonts w:hint="eastAsia" w:ascii="宋体" w:hAnsi="宋体" w:eastAsia="宋体" w:cs="宋体"/>
      <w:color w:val="333333"/>
      <w:u w:val="none"/>
    </w:rPr>
  </w:style>
  <w:style w:type="character" w:styleId="24">
    <w:name w:val="HTML Code"/>
    <w:basedOn w:val="18"/>
    <w:qFormat/>
    <w:uiPriority w:val="0"/>
    <w:rPr>
      <w:rFonts w:ascii="Courier New" w:hAnsi="Courier New"/>
      <w:sz w:val="20"/>
    </w:rPr>
  </w:style>
  <w:style w:type="character" w:styleId="25">
    <w:name w:val="HTML Cite"/>
    <w:basedOn w:val="18"/>
    <w:qFormat/>
    <w:uiPriority w:val="0"/>
    <w:rPr>
      <w:i/>
    </w:rPr>
  </w:style>
  <w:style w:type="paragraph" w:customStyle="1" w:styleId="26">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7">
    <w:name w:val="样式4"/>
    <w:basedOn w:val="11"/>
    <w:next w:val="11"/>
    <w:qFormat/>
    <w:uiPriority w:val="0"/>
    <w:pPr>
      <w:spacing w:line="500" w:lineRule="exact"/>
      <w:ind w:firstLine="200" w:firstLineChars="200"/>
    </w:pPr>
    <w:rPr>
      <w:rFonts w:cs="Courier New"/>
      <w:b/>
      <w:color w:val="FF0000"/>
      <w:spacing w:val="-6"/>
      <w:kern w:val="0"/>
      <w:sz w:val="30"/>
      <w:szCs w:val="30"/>
    </w:rPr>
  </w:style>
  <w:style w:type="character" w:customStyle="1" w:styleId="28">
    <w:name w:val="bds_more"/>
    <w:basedOn w:val="18"/>
    <w:qFormat/>
    <w:uiPriority w:val="0"/>
  </w:style>
  <w:style w:type="character" w:customStyle="1" w:styleId="29">
    <w:name w:val="bds_nopic"/>
    <w:basedOn w:val="18"/>
    <w:qFormat/>
    <w:uiPriority w:val="0"/>
  </w:style>
  <w:style w:type="character" w:customStyle="1" w:styleId="30">
    <w:name w:val="bds_nopic1"/>
    <w:basedOn w:val="18"/>
    <w:qFormat/>
    <w:uiPriority w:val="0"/>
  </w:style>
  <w:style w:type="character" w:customStyle="1" w:styleId="31">
    <w:name w:val="bds_nopic2"/>
    <w:basedOn w:val="18"/>
    <w:qFormat/>
    <w:uiPriority w:val="0"/>
  </w:style>
  <w:style w:type="character" w:customStyle="1" w:styleId="32">
    <w:name w:val="current"/>
    <w:basedOn w:val="18"/>
    <w:qFormat/>
    <w:uiPriority w:val="0"/>
    <w:rPr>
      <w:b/>
      <w:color w:val="666666"/>
      <w:bdr w:val="single" w:color="E0E0E0" w:sz="6" w:space="0"/>
      <w:shd w:val="clear" w:fill="F0F0F0"/>
    </w:rPr>
  </w:style>
  <w:style w:type="character" w:customStyle="1" w:styleId="33">
    <w:name w:val="disabled"/>
    <w:basedOn w:val="18"/>
    <w:qFormat/>
    <w:uiPriority w:val="0"/>
    <w:rPr>
      <w:color w:val="CCCCCC"/>
      <w:bdr w:val="single" w:color="DBDADA" w:sz="6" w:space="0"/>
    </w:rPr>
  </w:style>
  <w:style w:type="character" w:customStyle="1" w:styleId="34">
    <w:name w:val="tab_active"/>
    <w:basedOn w:val="18"/>
    <w:qFormat/>
    <w:uiPriority w:val="0"/>
    <w:rPr>
      <w:color w:val="666666"/>
    </w:rPr>
  </w:style>
  <w:style w:type="character" w:customStyle="1" w:styleId="35">
    <w:name w:val="current2"/>
    <w:basedOn w:val="18"/>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1</TotalTime>
  <ScaleCrop>false</ScaleCrop>
  <LinksUpToDate>false</LinksUpToDate>
  <CharactersWithSpaces>1791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cp:lastModifiedBy>
  <dcterms:modified xsi:type="dcterms:W3CDTF">2023-11-21T01:42:27Z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94D68A1A2BAA4D88B8E1D5E94F87C7FD</vt:lpwstr>
  </property>
</Properties>
</file>