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数字化引领城市更新再升级，天津城投集团成果亮相世界智能大会</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央广网</w:t>
      </w:r>
    </w:p>
    <w:p>
      <w:pPr>
        <w:pStyle w:val="9"/>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怎么提高建造品质和效率，怎么做到节省成本和节能减排？怎么用科技改善居民工作和生活环境，如何通过数字化运营提高园区的产业竞争力和可持续发展。走进S2号馆智慧生活展区B01，天津城投集团在本次世界智能大会上给出了企业的探索和方案。</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天津城投集团在城市更新展区内集中发布了智慧建造和智慧社区/园区两个领域的实际成果和创新理念。参观者可以近距离了解9个项目展示、2个互动体验和7个视频等多样内容，感受新时代城市更新的前沿发展。</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通过数字化技术应用于工程管理，天津城投集团打造了城市更新数字化综合管控平台（CIM），将城市更新项目从规划设计到交付验收等各个环节进行全面数字化管控。同时，海河柳林“设计之都”项目兼顾建筑设计与数字化呈现，将“智能、创新和独特”理念融入城市更新统筹规划之中，充分展现了天津城投集团的先进实力。</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智慧社区/园区板块中，不仅可以了解到智能化城市生产生活单元、城市更新项目阶段性建设成果、数字化楼宇管控平台等实际成果，还有八里湾生态智慧农业产业园等有别于传统农业经营模式的新项目。许多参观者对数字化同步交付的施工过程和物联网服务引入社区和园区等最新应用项目非常关注，通过现场电子沙盘进行互动交流，尽情享受城市更新数字化技术的盛宴。并与展台工作人员进行交流，了解更多企业信息和未来计划。期待这些创新成果的推出，将再次提级城市更新的发展，助力提升城市品质和居民生活幸福感。</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专注于城市更新项目的策源策划、投融资、开发建设、运营等全生命周期服务，以文化、民生及产业为主题，推进文化挖掘传承、智慧社区、智慧产业园区等投资建设运营，助力产城融合，服务天津城市高质量发展。未来，天津城投集团将以自有城市更新项目为场景，结合项目总体实施计划，实现智慧社区和智慧园区的建设运营，构建“生产、生活、生态”协同联动、“产、城、人”高效融合的城市更新片区，显著提升城市品质。</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p>
    <w:p>
      <w:pPr>
        <w:pStyle w:val="2"/>
        <w:rPr>
          <w:rFonts w:hint="eastAsia"/>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贵阳城投集团聚焦主业推进招商引资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cs="宋体" w:eastAsiaTheme="minorEastAsia"/>
          <w:snapToGrid w:val="0"/>
          <w:color w:val="000000"/>
          <w:kern w:val="0"/>
          <w:sz w:val="24"/>
          <w:szCs w:val="24"/>
          <w:lang w:val="en-US" w:eastAsia="zh-CN" w:bidi="ar-SA"/>
        </w:rPr>
        <w:t>来源：贵州日报</w:t>
      </w:r>
    </w:p>
    <w:p>
      <w:pPr>
        <w:pStyle w:val="13"/>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5月13日，贵阳城投集团产业招商暨项目融资推介会在贵阳举行，现场与22家企业签订了项目合作协议，签约金额84.5亿元；与14家金融机构签订了战略合作协议，新增授信及项目贷款309.6亿元。</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此次产业招商暨项目融资推介会是贵阳城投集团首次举办的集中推介活动，发挥国有企业主力军作用，努力招商安商的有力举措之一。贵阳城投集团邀请来自全国各地55家客商、50家金融机构参加推介会，现场重点推介三大类产业共21个招商项目，涉及避暑休闲旅游、城市更新等地产类项目6个，产业园区项目2个，环境产业、智慧城市运营、城市民生服务等产业类项目13个。</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作为城市建设管理服务综合运营商，贵阳城投集团围绕打造现代化国有企业核心要务，做强做大城市建设开发、城市综合运营、城市民生保障主责主业，深耕贵阳近40载，综合实力强劲，资源优势明显。</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今年以来，贵阳城投集团围绕集团实体化市场化高质量转型发展需求和“城市建设管理服务综合运营商”职能定位，聚焦“城市建设开发、城市综合运营、城市民生保障”三大主业及产业上下游优势资源一体推进产业招商及项目建设工作，成功引进一批企业投资贵阳，一批项目落地贵阳。</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此次合作企业签约，涉及置业开发、医用物资管理、再生资源回收利用、储备林建设、智慧城市建设运营、教育产业运营等多个产业领域。</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贵阳城投集团主要负责人表示，下一步集团将以优质的产业资源、强大的项目支撑、完善的服务保障，全力推进签约项目落地见效，与各方携手实现“共创、共赢、共享”。</w:t>
      </w:r>
    </w:p>
    <w:p>
      <w:pPr>
        <w:pStyle w:val="2"/>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2023</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5</w:t>
      </w:r>
      <w:bookmarkStart w:id="0" w:name="_GoBack"/>
      <w:bookmarkEnd w:id="0"/>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TA1MTI0ZTQ0MjQxMzQ0YWM2OGRkNjFlMzNiOGQifQ=="/>
  </w:docVars>
  <w:rsids>
    <w:rsidRoot w:val="135711B6"/>
    <w:rsid w:val="01B34423"/>
    <w:rsid w:val="02E9239D"/>
    <w:rsid w:val="03802FAA"/>
    <w:rsid w:val="05605221"/>
    <w:rsid w:val="07183EFD"/>
    <w:rsid w:val="08CE3340"/>
    <w:rsid w:val="0B49215B"/>
    <w:rsid w:val="0C1510B5"/>
    <w:rsid w:val="0C323478"/>
    <w:rsid w:val="0C8B726C"/>
    <w:rsid w:val="0CCF11AA"/>
    <w:rsid w:val="0D3D3AF9"/>
    <w:rsid w:val="0D701297"/>
    <w:rsid w:val="0DA44F1F"/>
    <w:rsid w:val="0E3837D3"/>
    <w:rsid w:val="106814C6"/>
    <w:rsid w:val="10C90ABD"/>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C17CB9"/>
    <w:rsid w:val="2DBD30F1"/>
    <w:rsid w:val="2DCF4E54"/>
    <w:rsid w:val="2DF16AF6"/>
    <w:rsid w:val="2DFB280F"/>
    <w:rsid w:val="2ECA5F7D"/>
    <w:rsid w:val="2F1D4CC3"/>
    <w:rsid w:val="30253624"/>
    <w:rsid w:val="32E50573"/>
    <w:rsid w:val="33DA324C"/>
    <w:rsid w:val="351D0E15"/>
    <w:rsid w:val="364879E2"/>
    <w:rsid w:val="3773053B"/>
    <w:rsid w:val="37B874E3"/>
    <w:rsid w:val="38065A1E"/>
    <w:rsid w:val="387E2BC0"/>
    <w:rsid w:val="38A802FD"/>
    <w:rsid w:val="39A11954"/>
    <w:rsid w:val="3AD010DD"/>
    <w:rsid w:val="3CEB33CD"/>
    <w:rsid w:val="3D7078A2"/>
    <w:rsid w:val="4247545C"/>
    <w:rsid w:val="42D84824"/>
    <w:rsid w:val="43215475"/>
    <w:rsid w:val="441A3D4C"/>
    <w:rsid w:val="44FD6564"/>
    <w:rsid w:val="467D421D"/>
    <w:rsid w:val="480B25EE"/>
    <w:rsid w:val="4890330D"/>
    <w:rsid w:val="48D21008"/>
    <w:rsid w:val="4CEB02D2"/>
    <w:rsid w:val="4D227684"/>
    <w:rsid w:val="4D392193"/>
    <w:rsid w:val="53410626"/>
    <w:rsid w:val="53730655"/>
    <w:rsid w:val="54D61B74"/>
    <w:rsid w:val="54F17583"/>
    <w:rsid w:val="55B1257D"/>
    <w:rsid w:val="55C004DD"/>
    <w:rsid w:val="5A30331E"/>
    <w:rsid w:val="5B951F4C"/>
    <w:rsid w:val="5E0D378B"/>
    <w:rsid w:val="5EBB0E8D"/>
    <w:rsid w:val="5F1E5AC5"/>
    <w:rsid w:val="602C7E0F"/>
    <w:rsid w:val="60C01E77"/>
    <w:rsid w:val="61140174"/>
    <w:rsid w:val="63DE67DB"/>
    <w:rsid w:val="64CF6463"/>
    <w:rsid w:val="678E1AC9"/>
    <w:rsid w:val="69DD0A53"/>
    <w:rsid w:val="6CE1567F"/>
    <w:rsid w:val="6D3D22B1"/>
    <w:rsid w:val="6D84762F"/>
    <w:rsid w:val="70594F33"/>
    <w:rsid w:val="713016CA"/>
    <w:rsid w:val="72662AEE"/>
    <w:rsid w:val="72AB6650"/>
    <w:rsid w:val="72C82FFA"/>
    <w:rsid w:val="7416122C"/>
    <w:rsid w:val="74DC1FA4"/>
    <w:rsid w:val="74ED1E7C"/>
    <w:rsid w:val="767203B6"/>
    <w:rsid w:val="77436B61"/>
    <w:rsid w:val="782A0984"/>
    <w:rsid w:val="783E0425"/>
    <w:rsid w:val="784407BB"/>
    <w:rsid w:val="78C228B5"/>
    <w:rsid w:val="7B4847A8"/>
    <w:rsid w:val="7CE10643"/>
    <w:rsid w:val="7D917E57"/>
    <w:rsid w:val="7DDA2A93"/>
    <w:rsid w:val="7F3C5F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qFormat/>
    <w:uiPriority w:val="0"/>
    <w:pPr>
      <w:keepNext/>
      <w:keepLines/>
      <w:spacing w:before="260" w:beforeLines="0" w:after="260" w:afterLines="0" w:line="416" w:lineRule="auto"/>
      <w:outlineLvl w:val="2"/>
    </w:pPr>
    <w:rPr>
      <w:rFonts w:ascii="宋体" w:hAnsi="宋体" w:cs="宋体"/>
      <w:b/>
      <w:bCs/>
      <w:sz w:val="32"/>
      <w:szCs w:val="32"/>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w:basedOn w:val="3"/>
    <w:next w:val="3"/>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3">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7">
    <w:name w:val="Normal Indent"/>
    <w:basedOn w:val="1"/>
    <w:next w:val="1"/>
    <w:qFormat/>
    <w:uiPriority w:val="0"/>
    <w:pPr>
      <w:ind w:firstLine="964" w:firstLineChars="200"/>
    </w:pPr>
    <w:rPr>
      <w:sz w:val="28"/>
    </w:rPr>
  </w:style>
  <w:style w:type="paragraph" w:styleId="8">
    <w:name w:val="Body Text Indent"/>
    <w:basedOn w:val="1"/>
    <w:next w:val="9"/>
    <w:qFormat/>
    <w:uiPriority w:val="0"/>
    <w:pPr>
      <w:ind w:left="420" w:leftChars="200"/>
    </w:pPr>
    <w:rPr>
      <w:kern w:val="2"/>
      <w:sz w:val="21"/>
      <w:szCs w:val="24"/>
    </w:rPr>
  </w:style>
  <w:style w:type="paragraph" w:styleId="9">
    <w:name w:val="Body Text First Indent 2"/>
    <w:basedOn w:val="8"/>
    <w:next w:val="1"/>
    <w:qFormat/>
    <w:uiPriority w:val="0"/>
    <w:pPr>
      <w:widowControl w:val="0"/>
      <w:ind w:firstLine="420"/>
      <w:jc w:val="both"/>
    </w:pPr>
    <w:rPr>
      <w:kern w:val="2"/>
      <w:sz w:val="21"/>
      <w:szCs w:val="24"/>
    </w:rPr>
  </w:style>
  <w:style w:type="paragraph" w:styleId="10">
    <w:name w:val="Plain Text"/>
    <w:basedOn w:val="1"/>
    <w:qFormat/>
    <w:uiPriority w:val="0"/>
    <w:rPr>
      <w:rFonts w:ascii="宋体" w:hAnsi="Courier New" w:cs="Courier New"/>
      <w:szCs w:val="21"/>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rFonts w:hint="eastAsia" w:ascii="宋体" w:hAnsi="宋体" w:eastAsia="宋体" w:cs="宋体"/>
      <w:color w:val="333333"/>
      <w:u w:val="none"/>
    </w:rPr>
  </w:style>
  <w:style w:type="character" w:styleId="21">
    <w:name w:val="Emphasis"/>
    <w:basedOn w:val="17"/>
    <w:qFormat/>
    <w:uiPriority w:val="0"/>
    <w:rPr>
      <w:i/>
    </w:rPr>
  </w:style>
  <w:style w:type="character" w:styleId="22">
    <w:name w:val="Hyperlink"/>
    <w:basedOn w:val="17"/>
    <w:qFormat/>
    <w:uiPriority w:val="0"/>
    <w:rPr>
      <w:rFonts w:hint="eastAsia" w:ascii="宋体" w:hAnsi="宋体" w:eastAsia="宋体" w:cs="宋体"/>
      <w:color w:val="333333"/>
      <w:u w:val="none"/>
    </w:rPr>
  </w:style>
  <w:style w:type="character" w:styleId="23">
    <w:name w:val="HTML Code"/>
    <w:basedOn w:val="17"/>
    <w:qFormat/>
    <w:uiPriority w:val="0"/>
    <w:rPr>
      <w:rFonts w:ascii="Courier New" w:hAnsi="Courier New"/>
      <w:sz w:val="20"/>
    </w:rPr>
  </w:style>
  <w:style w:type="character" w:styleId="24">
    <w:name w:val="HTML Cite"/>
    <w:basedOn w:val="17"/>
    <w:qFormat/>
    <w:uiPriority w:val="0"/>
    <w:rPr>
      <w:i/>
    </w:rPr>
  </w:style>
  <w:style w:type="paragraph" w:customStyle="1" w:styleId="25">
    <w:name w:val="Heading2"/>
    <w:basedOn w:val="1"/>
    <w:next w:val="1"/>
    <w:qFormat/>
    <w:uiPriority w:val="0"/>
    <w:pPr>
      <w:keepNext/>
      <w:keepLines/>
      <w:jc w:val="both"/>
      <w:textAlignment w:val="baseline"/>
    </w:pPr>
    <w:rPr>
      <w:rFonts w:ascii="黑体" w:hAnsi="黑体" w:eastAsia="黑体"/>
      <w:kern w:val="2"/>
      <w:sz w:val="21"/>
      <w:lang w:val="en-US" w:eastAsia="zh-CN" w:bidi="ar-SA"/>
    </w:rPr>
  </w:style>
  <w:style w:type="paragraph" w:customStyle="1" w:styleId="26">
    <w:name w:val="样式4"/>
    <w:basedOn w:val="10"/>
    <w:next w:val="10"/>
    <w:qFormat/>
    <w:uiPriority w:val="0"/>
    <w:pPr>
      <w:spacing w:line="500" w:lineRule="exact"/>
      <w:ind w:firstLine="200" w:firstLineChars="200"/>
    </w:pPr>
    <w:rPr>
      <w:rFonts w:cs="Courier New"/>
      <w:b/>
      <w:color w:val="FF0000"/>
      <w:spacing w:val="-6"/>
      <w:kern w:val="0"/>
      <w:sz w:val="30"/>
      <w:szCs w:val="30"/>
    </w:rPr>
  </w:style>
  <w:style w:type="character" w:customStyle="1" w:styleId="27">
    <w:name w:val="bds_more"/>
    <w:basedOn w:val="17"/>
    <w:qFormat/>
    <w:uiPriority w:val="0"/>
  </w:style>
  <w:style w:type="character" w:customStyle="1" w:styleId="28">
    <w:name w:val="bds_nopic"/>
    <w:basedOn w:val="17"/>
    <w:qFormat/>
    <w:uiPriority w:val="0"/>
  </w:style>
  <w:style w:type="character" w:customStyle="1" w:styleId="29">
    <w:name w:val="bds_nopic1"/>
    <w:basedOn w:val="17"/>
    <w:qFormat/>
    <w:uiPriority w:val="0"/>
  </w:style>
  <w:style w:type="character" w:customStyle="1" w:styleId="30">
    <w:name w:val="bds_nopic2"/>
    <w:basedOn w:val="17"/>
    <w:qFormat/>
    <w:uiPriority w:val="0"/>
  </w:style>
  <w:style w:type="character" w:customStyle="1" w:styleId="31">
    <w:name w:val="current"/>
    <w:basedOn w:val="17"/>
    <w:qFormat/>
    <w:uiPriority w:val="0"/>
    <w:rPr>
      <w:b/>
      <w:color w:val="666666"/>
      <w:bdr w:val="single" w:color="E0E0E0" w:sz="6" w:space="0"/>
      <w:shd w:val="clear" w:fill="F0F0F0"/>
    </w:rPr>
  </w:style>
  <w:style w:type="character" w:customStyle="1" w:styleId="32">
    <w:name w:val="disabled"/>
    <w:basedOn w:val="17"/>
    <w:qFormat/>
    <w:uiPriority w:val="0"/>
    <w:rPr>
      <w:color w:val="CCCCCC"/>
      <w:bdr w:val="single" w:color="DBDADA" w:sz="6" w:space="0"/>
    </w:rPr>
  </w:style>
  <w:style w:type="character" w:customStyle="1" w:styleId="33">
    <w:name w:val="tab_active"/>
    <w:basedOn w:val="17"/>
    <w:qFormat/>
    <w:uiPriority w:val="0"/>
    <w:rPr>
      <w:color w:val="666666"/>
    </w:rPr>
  </w:style>
  <w:style w:type="character" w:customStyle="1" w:styleId="34">
    <w:name w:val="current2"/>
    <w:basedOn w:val="1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1713</Words>
  <Characters>1785</Characters>
  <Lines>0</Lines>
  <Paragraphs>0</Paragraphs>
  <TotalTime>11</TotalTime>
  <ScaleCrop>false</ScaleCrop>
  <LinksUpToDate>false</LinksUpToDate>
  <CharactersWithSpaces>1791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2023-08-04T02:45:48Z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94D68A1A2BAA4D88B8E1D5E94F87C7FD</vt:lpwstr>
  </property>
</Properties>
</file>