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宋体" w:hAnsi="宋体" w:eastAsiaTheme="minorEastAsia" w:cstheme="minorBidi"/>
          <w:b/>
          <w:snapToGrid w:val="0"/>
          <w:color w:val="FF0000"/>
          <w:kern w:val="0"/>
          <w:sz w:val="36"/>
          <w:szCs w:val="36"/>
          <w:shd w:val="clear" w:color="auto" w:fill="FFFFFF"/>
          <w:lang w:val="en-US" w:eastAsia="zh-CN" w:bidi="ar-SA"/>
        </w:rPr>
        <w:t>城投+浙大强强联合 杭州城投未来中心正式启用</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杭州网</w:t>
      </w:r>
    </w:p>
    <w:p>
      <w:pPr>
        <w:pStyle w:val="10"/>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距离杭州西站800米的位置，一座“杭州城投未来中心”正在崛起。</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3月30日，杭州城投-浙江大学科技产业合作推进会举行，“杭州城投未来中心”正式宣布落户杭州云城，这标志着“名校+名企”“产业+平台”的校企深度合作新模式正式开启。</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它有区位优势——“杭州城投未来中心”高180米，位于杭州未来科技城和杭州云城双核心位置、杭腾未来社区（省级）的产业中心——浙江大学校友企业总部经济园二期（浙大汇镕），直通杭州西门户——杭州西站、坐拥3号线地铁上盖，内部和周边配套设施齐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它有政策优势——“杭州城投未来中心”聚焦智能物联、生物医药、高端装备、新材料、绿色能源领域五大产业生态圈，来自浙大和城投两大科技创新主力军赋予的人才、技术、资金、市场、产业基金优势，将成为一流产业平台赋能企业发展的差异化竞争力。</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活动现场更为瞩目的是，六位获得极高学术成就、享有崇高声誉的顶尖专家院士受聘成为首批“杭州城投未来中心”院士专家委员会委员。中国工程院院士、能源与环境领域专家高翔作为受聘委员之一表示：“杭州科技创新动力非常强劲，我想和专家委员会的其他各位院士专家，通过这个平台一起推动科技创新，推动人才培养，把更多的浙江大学的成果跟实际需求结合起来。”</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人才始终是高质量发展的第一资源。”杭州市城投集团党委书记李红良表示，在“杭州城投未来中心”，除了普通创业园、孵化器具备的入驻政策优势外，这里还将串联起浙江大学的人才、技术、项目，和城投集团的应用场景、产业资本、品牌市场等优势资源，比如设立博士后工作站，围绕产业园区建设运营、科创基金、金融业务、高端产业孵化、人才培养交流等，进行科技产业资本深度融合，将它打造成为杭州第三中心的人才集聚之地、科技缤纷之地、职住向往之地。</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Times New Roman"/>
          <w:b/>
          <w:bCs w:val="0"/>
          <w:color w:val="FF6600"/>
          <w:kern w:val="2"/>
          <w:sz w:val="24"/>
          <w:szCs w:val="24"/>
          <w:lang w:val="en-US" w:eastAsia="zh-CN" w:bidi="ar-SA"/>
        </w:rPr>
      </w:pPr>
      <w:r>
        <w:rPr>
          <w:rFonts w:hint="eastAsia" w:ascii="宋体" w:hAnsi="宋体" w:eastAsia="宋体" w:cs="宋体"/>
          <w:snapToGrid w:val="0"/>
          <w:color w:val="000000"/>
          <w:kern w:val="0"/>
          <w:sz w:val="24"/>
          <w:szCs w:val="24"/>
          <w:lang w:val="en-US" w:eastAsia="zh-CN" w:bidi="ar-SA"/>
        </w:rPr>
        <w:t>杭州市城投集团与浙江大学双方合作的推进，加快了科研成果转化、推进创新链、产业链、资金链、人才链深度融合的重要布局，对于促进要素全面整合，加快新旧动能转换，推动产业升级迭代，提升城市发展能级具有重要的现实意义。</w:t>
      </w:r>
    </w:p>
    <w:p>
      <w:pPr>
        <w:pStyle w:val="10"/>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pStyle w:val="26"/>
        <w:rPr>
          <w:rFonts w:hint="eastAsia"/>
          <w:lang w:val="en-US" w:eastAsia="zh-CN"/>
        </w:rPr>
      </w:pPr>
    </w:p>
    <w:p>
      <w:pPr>
        <w:pStyle w:val="11"/>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国资房企新势力！广州城投地产助力高质量发展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cs="宋体" w:eastAsiaTheme="minorEastAsia"/>
          <w:snapToGrid w:val="0"/>
          <w:color w:val="000000"/>
          <w:kern w:val="0"/>
          <w:sz w:val="24"/>
          <w:szCs w:val="24"/>
          <w:lang w:val="en-US" w:eastAsia="zh-CN" w:bidi="ar-SA"/>
        </w:rPr>
        <w:t>来源：中指研究院</w:t>
      </w:r>
    </w:p>
    <w:p>
      <w:pPr>
        <w:pStyle w:val="14"/>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2023年3月16日，由中国企业评价协会、清华大学房地产研究所、北京中指信息技术研究院主办，北京中指信息技术研究院中国房地产TOP10研究组承办的“2023中国房地产百强企业研究成果发布会暨第二十届中国房地产百强企业家峰会”在北京隆重召开。</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总结历年研究经验的基础上，研究组进一步完善了研究方法体系，从规模性、盈利性、成长性、稳定性等方面入手，更加全面、客观地评价企业的综合实力。广州城投地产凭借持续稳健的企业发展和综合实力荣膺“2023中国房地产百强企业”、“2023中国房地产百强之星”以及“2022-2023中国房地产年度社会责任感企业”三项殊荣。</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千亿级国企助力房地产行业平稳健康发展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两年来在广州房地产市场曝光度、知名度“狂飙”的广州城投地产，其实已深耕广州多年，其所属的广州城投集团是专业从事城市基础设施投融资、建设、运营管理的千亿级国有大型企业，资产总额约3596亿元，净资产约1550亿元，控股2家上市公司，综合实力十分强大。广州多个地标性建筑，如“小蛮腰”广州塔、海心桥、花城广场等都出自广州城投集团之手，可以说，其早已经与广州这座城市同呼吸、共命运。</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作为广州城投集团旗下的房地产企业，广州城投地产承载广州城投集团智慧运营城市多年经验，通过品牌良好基因与优厚实力聚焦房地产业务，打造一系列覆盖人群广、产品多元化、标准精品化、硬件智能化的地产项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 2021年中以来，在内外多重因素的叠加影响下，本轮房地产周期进入深度调整期。在市场低迷期，作为市属国企的广州城投地产积极有为，在土拍市场，广州城投托底多宗地块，另外还积极介入广州足球公园、空港会展项目、庙头村旧改等多个项目，稳住了作为“支柱产业”的房地产行业的基本盘，为市场注入了信心，展现“稳经济”的国企责任与担当。</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2" w:firstLineChars="200"/>
        <w:textAlignment w:val="auto"/>
        <w:rPr>
          <w:rFonts w:hint="eastAsia" w:ascii="宋体" w:hAnsi="宋体" w:eastAsia="宋体" w:cs="宋体"/>
          <w:b/>
          <w:bCs/>
          <w:snapToGrid w:val="0"/>
          <w:color w:val="000000"/>
          <w:kern w:val="0"/>
          <w:sz w:val="24"/>
          <w:szCs w:val="24"/>
          <w:lang w:val="en-US" w:eastAsia="zh-CN" w:bidi="ar-SA"/>
        </w:rPr>
      </w:pPr>
      <w:r>
        <w:rPr>
          <w:rFonts w:hint="eastAsia" w:ascii="宋体" w:hAnsi="宋体" w:eastAsia="宋体" w:cs="宋体"/>
          <w:b/>
          <w:bCs/>
          <w:snapToGrid w:val="0"/>
          <w:color w:val="000000"/>
          <w:kern w:val="0"/>
          <w:sz w:val="24"/>
          <w:szCs w:val="24"/>
          <w:lang w:val="en-US" w:eastAsia="zh-CN" w:bidi="ar-SA"/>
        </w:rPr>
        <w:t>租购并举，多举措实现“老广”、“新广”的安居梦</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 2021年底中央经济工作会议首提房地产行业要“探索新的发展模式”，全面升级和优化开发模式势在必行，积极践行“租购并举”是其中重要一环。</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 xml:space="preserve"> 广州城投地产以积极行动适应行业变革，将房地产、城市更新、住房租赁作为三大主力业务板块，构筑“城投筑梦，未来人居”的美好蓝图，从人居住宅到安居住房，从商务办公到更新改造，满足“老广”与“新广”不同阶层人群的差异化住房、商办需求。截至目前，广州城投地产已实现广州9个行政区覆盖，商住地产总开发量突破480万㎡，货值突破1100亿元，“租+购”保障性住房总建筑面积超650万㎡。</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房地产开发领域，广州城投地产精选优质地段，以城市的发展规划重点为战略布局要地，以精益求精的产品品质与有温度的服务，打造区域标杆和精品项目。近期，广州城投3大高端项目（广州城投·东园公馆、广州城投·天赋壹号、广州城投·熹云谷）即将入市，项目占据广州三大中轴线核心地段，瞄准改善需求，再造商住领域的城市新地标，让城市的宜商宜居环境不断向上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在城市更新领域，广州城投地产紧紧围绕助力广州实现老城市新活力、“四个出新出彩”的时代主题，以功能性国企身份切实推动广州市城市更新工作，通过城市更新红利反哺城市基础设施建设，推动城市高质量发展。目前在如火如荼开展黄埔区庙头村旧改工作，已介入的项目包括广州黄埔庙头村、增城团结村等旧村改造，广州火车站、东站等周边片区开发，遍及广州中心城区、近郊高潜力板块以及未来产业高地，全面参与广州新一轮城市更新，助力提升城市综合能级、提升城市功能和品质，为区域发展进一步“提速换挡”提供更强大的动能。</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lang w:val="en-US" w:eastAsia="zh-CN"/>
        </w:rPr>
      </w:pPr>
      <w:r>
        <w:rPr>
          <w:rFonts w:hint="eastAsia" w:ascii="宋体" w:hAnsi="宋体" w:eastAsia="宋体" w:cs="宋体"/>
          <w:snapToGrid w:val="0"/>
          <w:color w:val="000000"/>
          <w:kern w:val="0"/>
          <w:sz w:val="24"/>
          <w:szCs w:val="24"/>
          <w:lang w:val="en-US" w:eastAsia="zh-CN" w:bidi="ar-SA"/>
        </w:rPr>
        <w:t>在保障房领域，广州城投地产积极响应“租购并举”和建设住房保障体系的号召，努力解决困难家庭、新市民住房问题，发挥国企的中坚力量，践行企业社会责任。加大资源投入，在投资、建设、运营等环节持续发力，推动实现“住房民生化”。目前管理和建设保障性住房约7.13万套，在管保障房小区18个，在建项目3个，辐射天河、黄埔、番禺、增城、南沙等区域，实现“公租房+保障性租赁住房+共有产权房”全覆盖。通过持续深度参与住房保障体系建设，更好地探索行业新发展模式的实施路径，引领住有宜居“新模式”，答好“民生答卷”，促进房地产行业朝着“质的有效提升，量的合理增长”的方向高质量发展，助力城市安居新格局。</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firstLineChars="200"/>
        <w:textAlignment w:val="auto"/>
        <w:rPr>
          <w:rFonts w:hint="eastAsia"/>
          <w:snapToGrid w:val="0"/>
          <w:color w:val="000000"/>
          <w:lang w:val="en-US" w:eastAsia="zh-CN"/>
        </w:rPr>
      </w:pPr>
      <w:r>
        <w:rPr>
          <w:rFonts w:hint="eastAsia" w:ascii="宋体" w:hAnsi="宋体" w:eastAsia="宋体" w:cs="宋体"/>
          <w:snapToGrid w:val="0"/>
          <w:color w:val="000000"/>
          <w:kern w:val="0"/>
          <w:sz w:val="24"/>
          <w:szCs w:val="24"/>
          <w:lang w:val="en-US" w:eastAsia="zh-CN" w:bidi="ar-SA"/>
        </w:rPr>
        <w:t>广州城投地产聚焦房地产板块，坚守“未来品质人居创领者”的品牌使命，持续深耕广州，打造一系列覆盖人群广、产品多元化、标准精品化、硬件智能化的地产项目，用更高标准与更大力度，实现广州人对美好生活的向往，不但让人们“住进来”，更要让他们“住得好”。</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3</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bookmarkStart w:id="0" w:name="_GoBack"/>
      <w:bookmarkEnd w:id="0"/>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AE96F65"/>
    <w:rsid w:val="2B4E6124"/>
    <w:rsid w:val="2BC96687"/>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3D7078A2"/>
    <w:rsid w:val="4247545C"/>
    <w:rsid w:val="42D84824"/>
    <w:rsid w:val="43215475"/>
    <w:rsid w:val="441A3D4C"/>
    <w:rsid w:val="44FD6564"/>
    <w:rsid w:val="467D421D"/>
    <w:rsid w:val="480B25EE"/>
    <w:rsid w:val="4890330D"/>
    <w:rsid w:val="48D21008"/>
    <w:rsid w:val="4CEB02D2"/>
    <w:rsid w:val="4D227684"/>
    <w:rsid w:val="4D392193"/>
    <w:rsid w:val="53410626"/>
    <w:rsid w:val="53730655"/>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8">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Body Text Indent"/>
    <w:basedOn w:val="1"/>
    <w:next w:val="10"/>
    <w:qFormat/>
    <w:uiPriority w:val="0"/>
    <w:pPr>
      <w:ind w:left="420" w:leftChars="200"/>
    </w:pPr>
    <w:rPr>
      <w:kern w:val="2"/>
      <w:sz w:val="21"/>
      <w:szCs w:val="24"/>
    </w:rPr>
  </w:style>
  <w:style w:type="paragraph" w:styleId="10">
    <w:name w:val="Body Text First Indent 2"/>
    <w:basedOn w:val="9"/>
    <w:next w:val="1"/>
    <w:qFormat/>
    <w:uiPriority w:val="0"/>
    <w:pPr>
      <w:widowControl w:val="0"/>
      <w:ind w:firstLine="420"/>
      <w:jc w:val="both"/>
    </w:pPr>
    <w:rPr>
      <w:kern w:val="2"/>
      <w:sz w:val="21"/>
      <w:szCs w:val="24"/>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4">
    <w:name w:val="footnote text"/>
    <w:basedOn w:val="1"/>
    <w:qFormat/>
    <w:uiPriority w:val="0"/>
    <w:pPr>
      <w:snapToGrid w:val="0"/>
      <w:jc w:val="left"/>
    </w:pPr>
    <w:rPr>
      <w:sz w:val="18"/>
    </w:rPr>
  </w:style>
  <w:style w:type="paragraph" w:styleId="15">
    <w:name w:val="toc 2"/>
    <w:basedOn w:val="1"/>
    <w:next w:val="1"/>
    <w:qFormat/>
    <w:uiPriority w:val="0"/>
    <w:pPr>
      <w:ind w:left="420" w:leftChars="200"/>
    </w:p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rFonts w:hint="eastAsia" w:ascii="宋体" w:hAnsi="宋体" w:eastAsia="宋体" w:cs="宋体"/>
      <w:color w:val="333333"/>
      <w:u w:val="none"/>
    </w:rPr>
  </w:style>
  <w:style w:type="character" w:styleId="22">
    <w:name w:val="Emphasis"/>
    <w:basedOn w:val="18"/>
    <w:qFormat/>
    <w:uiPriority w:val="0"/>
    <w:rPr>
      <w:i/>
    </w:rPr>
  </w:style>
  <w:style w:type="character" w:styleId="23">
    <w:name w:val="Hyperlink"/>
    <w:basedOn w:val="18"/>
    <w:qFormat/>
    <w:uiPriority w:val="0"/>
    <w:rPr>
      <w:rFonts w:hint="eastAsia" w:ascii="宋体" w:hAnsi="宋体" w:eastAsia="宋体" w:cs="宋体"/>
      <w:color w:val="333333"/>
      <w:u w:val="none"/>
    </w:rPr>
  </w:style>
  <w:style w:type="character" w:styleId="24">
    <w:name w:val="HTML Code"/>
    <w:basedOn w:val="18"/>
    <w:qFormat/>
    <w:uiPriority w:val="0"/>
    <w:rPr>
      <w:rFonts w:ascii="Courier New" w:hAnsi="Courier New"/>
      <w:sz w:val="20"/>
    </w:rPr>
  </w:style>
  <w:style w:type="character" w:styleId="25">
    <w:name w:val="HTML Cite"/>
    <w:basedOn w:val="18"/>
    <w:qFormat/>
    <w:uiPriority w:val="0"/>
    <w:rPr>
      <w:i/>
    </w:rPr>
  </w:style>
  <w:style w:type="paragraph" w:customStyle="1" w:styleId="26">
    <w:name w:val="样式4"/>
    <w:basedOn w:val="11"/>
    <w:next w:val="11"/>
    <w:qFormat/>
    <w:uiPriority w:val="0"/>
    <w:pPr>
      <w:spacing w:line="500" w:lineRule="exact"/>
      <w:ind w:firstLine="200" w:firstLineChars="200"/>
    </w:pPr>
    <w:rPr>
      <w:rFonts w:cs="Courier New"/>
      <w:b/>
      <w:color w:val="FF0000"/>
      <w:spacing w:val="-6"/>
      <w:kern w:val="0"/>
      <w:sz w:val="30"/>
      <w:szCs w:val="30"/>
    </w:rPr>
  </w:style>
  <w:style w:type="character" w:customStyle="1" w:styleId="27">
    <w:name w:val="bds_more"/>
    <w:basedOn w:val="18"/>
    <w:qFormat/>
    <w:uiPriority w:val="0"/>
  </w:style>
  <w:style w:type="character" w:customStyle="1" w:styleId="28">
    <w:name w:val="bds_nopic"/>
    <w:basedOn w:val="18"/>
    <w:qFormat/>
    <w:uiPriority w:val="0"/>
  </w:style>
  <w:style w:type="character" w:customStyle="1" w:styleId="29">
    <w:name w:val="bds_nopic1"/>
    <w:basedOn w:val="18"/>
    <w:qFormat/>
    <w:uiPriority w:val="0"/>
  </w:style>
  <w:style w:type="character" w:customStyle="1" w:styleId="30">
    <w:name w:val="bds_nopic2"/>
    <w:basedOn w:val="18"/>
    <w:qFormat/>
    <w:uiPriority w:val="0"/>
  </w:style>
  <w:style w:type="character" w:customStyle="1" w:styleId="31">
    <w:name w:val="current"/>
    <w:basedOn w:val="18"/>
    <w:qFormat/>
    <w:uiPriority w:val="0"/>
    <w:rPr>
      <w:b/>
      <w:color w:val="666666"/>
      <w:bdr w:val="single" w:color="E0E0E0" w:sz="6" w:space="0"/>
      <w:shd w:val="clear" w:fill="F0F0F0"/>
    </w:rPr>
  </w:style>
  <w:style w:type="character" w:customStyle="1" w:styleId="32">
    <w:name w:val="disabled"/>
    <w:basedOn w:val="18"/>
    <w:qFormat/>
    <w:uiPriority w:val="0"/>
    <w:rPr>
      <w:color w:val="CCCCCC"/>
      <w:bdr w:val="single" w:color="DBDADA" w:sz="6" w:space="0"/>
    </w:rPr>
  </w:style>
  <w:style w:type="character" w:customStyle="1" w:styleId="33">
    <w:name w:val="tab_active"/>
    <w:basedOn w:val="18"/>
    <w:qFormat/>
    <w:uiPriority w:val="0"/>
    <w:rPr>
      <w:color w:val="666666"/>
    </w:rPr>
  </w:style>
  <w:style w:type="character" w:customStyle="1" w:styleId="34">
    <w:name w:val="current2"/>
    <w:basedOn w:val="18"/>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5</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2023-08-04T02:41:53Z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