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「踔厉奋发看“津招”」天津城投集团做优做强四大业务板块 为“四高”大都市建设“添秤”</w:t>
      </w:r>
    </w:p>
    <w:p>
      <w:pPr>
        <w:pStyle w:val="24"/>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来源：央广网</w:t>
      </w:r>
    </w:p>
    <w:p>
      <w:pPr>
        <w:pStyle w:val="9"/>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9264;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8GS&#10;uNgAAAAJAQAADwAAAAAAAAABACAAAAAiAAAAZHJzL2Rvd25yZXYueG1sUEsBAhQAFAAAAAgAh07i&#10;QFerUgbpAQAA3gMAAA4AAAAAAAAAAQAgAAAAJwEAAGRycy9lMm9Eb2MueG1sUEsFBgAAAAAGAAYA&#10;WQEAAIIFAAAAAA==&#10;">
                <v:fill on="f" focussize="0,0"/>
                <v:stroke color="#000000" joinstyle="round"/>
                <v:imagedata o:title=""/>
                <o:lock v:ext="edit" aspectratio="f"/>
              </v:line>
            </w:pict>
          </mc:Fallback>
        </mc:AlternateContent>
      </w:r>
    </w:p>
    <w:p>
      <w:pPr>
        <w:pStyle w:val="14"/>
        <w:shd w:val="clear" w:color="auto" w:fill="FFFFFF"/>
        <w:spacing w:before="0" w:beforeAutospacing="0" w:after="0" w:afterAutospacing="0" w:line="360" w:lineRule="auto"/>
        <w:ind w:firstLine="480" w:firstLineChars="200"/>
        <w:rPr>
          <w:rFonts w:hint="eastAsia"/>
          <w:snapToGrid w:val="0"/>
          <w:color w:val="000000"/>
        </w:rPr>
      </w:pPr>
      <w:r>
        <w:rPr>
          <w:rFonts w:hint="eastAsia"/>
          <w:snapToGrid w:val="0"/>
          <w:color w:val="000000"/>
        </w:rPr>
        <w:t>日前，记者就天津城投集团如何以实际行动落实党的二十大精神在推动城市发展领域落地生根等问题，对天津城投集团党委书记、董事长赵鹏进行独家专访。</w:t>
      </w:r>
    </w:p>
    <w:p>
      <w:pPr>
        <w:pStyle w:val="14"/>
        <w:shd w:val="clear" w:color="auto" w:fill="FFFFFF"/>
        <w:spacing w:before="0" w:beforeAutospacing="0" w:after="0" w:afterAutospacing="0" w:line="360" w:lineRule="auto"/>
        <w:ind w:firstLine="480" w:firstLineChars="200"/>
        <w:rPr>
          <w:rFonts w:hint="eastAsia"/>
          <w:snapToGrid w:val="0"/>
          <w:color w:val="000000"/>
        </w:rPr>
      </w:pPr>
      <w:r>
        <w:rPr>
          <w:rFonts w:hint="eastAsia"/>
          <w:snapToGrid w:val="0"/>
          <w:color w:val="000000"/>
        </w:rPr>
        <w:t>“深化国资国企改革，加快国有经济布局优化和结构调整，推动国有资本和国有企业做强做优做大，提升企业核心竞争力。”“坚持人民城市人民建、人民城市为人民，提高城市规划、建设、治理水平，加快转变超大特大城市发展方式，实施城市更新行动，加强城市基础设施建设，打造宜居、韧性、智慧城市。”党的二十大报告中的相关重要内容令赵鹏印象深刻，也为天津城投集团的未来发展指明了方向。</w:t>
      </w:r>
    </w:p>
    <w:p>
      <w:pPr>
        <w:pStyle w:val="14"/>
        <w:shd w:val="clear" w:color="auto" w:fill="FFFFFF"/>
        <w:spacing w:before="0" w:beforeAutospacing="0" w:after="0" w:afterAutospacing="0" w:line="360" w:lineRule="auto"/>
        <w:ind w:firstLine="480" w:firstLineChars="200"/>
        <w:rPr>
          <w:rFonts w:hint="eastAsia"/>
          <w:snapToGrid w:val="0"/>
          <w:color w:val="000000"/>
        </w:rPr>
      </w:pPr>
      <w:r>
        <w:rPr>
          <w:rFonts w:hint="eastAsia"/>
          <w:snapToGrid w:val="0"/>
          <w:color w:val="000000"/>
        </w:rPr>
        <w:t>“党的二十大报告使我们更加坚定了履行好国有资本投资公司、城市综合运营服务商、城市更新实施主体新职责新使命的信心和决心，进一步深化国企改革、推动高质量发展，共筑使命责任、展现国企担当。”赵鹏说道，结合公司发展及规划，天津城投集团将从四方面发力，在城市基础设施、民计民生、战略新兴产业等重点领域，策划、储备和实施一批大项目、好项目。</w:t>
      </w:r>
    </w:p>
    <w:p>
      <w:pPr>
        <w:pStyle w:val="14"/>
        <w:shd w:val="clear" w:color="auto" w:fill="FFFFFF"/>
        <w:spacing w:before="0" w:beforeAutospacing="0" w:after="0" w:afterAutospacing="0" w:line="360" w:lineRule="auto"/>
        <w:ind w:firstLine="482" w:firstLineChars="200"/>
        <w:rPr>
          <w:rFonts w:hint="eastAsia"/>
          <w:b/>
          <w:bCs/>
          <w:snapToGrid w:val="0"/>
          <w:color w:val="000000"/>
        </w:rPr>
      </w:pPr>
      <w:r>
        <w:rPr>
          <w:rFonts w:hint="eastAsia"/>
          <w:b/>
          <w:bCs/>
          <w:snapToGrid w:val="0"/>
          <w:color w:val="000000"/>
        </w:rPr>
        <w:t>聚焦京津冀协同发展 谋划交通一体化建设</w:t>
      </w:r>
    </w:p>
    <w:p>
      <w:pPr>
        <w:pStyle w:val="14"/>
        <w:shd w:val="clear" w:color="auto" w:fill="FFFFFF"/>
        <w:spacing w:before="0" w:beforeAutospacing="0" w:after="0" w:afterAutospacing="0" w:line="360" w:lineRule="auto"/>
        <w:ind w:firstLine="480" w:firstLineChars="200"/>
        <w:rPr>
          <w:rFonts w:hint="eastAsia"/>
          <w:snapToGrid w:val="0"/>
          <w:color w:val="000000"/>
        </w:rPr>
      </w:pPr>
      <w:r>
        <w:rPr>
          <w:rFonts w:hint="eastAsia"/>
          <w:snapToGrid w:val="0"/>
          <w:color w:val="000000"/>
        </w:rPr>
        <w:t>京津冀三地不仅地缘相近，更是“血缘”相亲。随着京津冀协同发展重大国家战略不断深化，三地之间的人员流动、资源往来日益密切。为加快打造“轨道上的京津冀”，天津城投集团将重点策划实施京津冀大交通网络，分布式光伏发电、高速公路综合能源补给站、城市智慧光网等路域新能源新基建，冷链物流、应急物资转运中心等新物流，以及温泉城服务区、京哈高速宝坻服务区提升改造等特色商业项目。截至2022年11月，津南服务区已实现光伏并网发电130万度，减少排放标煤442吨，二氧化碳减排量755吨。</w:t>
      </w:r>
    </w:p>
    <w:p>
      <w:pPr>
        <w:pStyle w:val="14"/>
        <w:shd w:val="clear" w:color="auto" w:fill="FFFFFF"/>
        <w:spacing w:before="0" w:beforeAutospacing="0" w:after="0" w:afterAutospacing="0" w:line="360" w:lineRule="auto"/>
        <w:ind w:firstLine="482" w:firstLineChars="200"/>
        <w:rPr>
          <w:rFonts w:hint="eastAsia"/>
          <w:b/>
          <w:bCs/>
          <w:snapToGrid w:val="0"/>
          <w:color w:val="000000"/>
        </w:rPr>
      </w:pPr>
      <w:r>
        <w:rPr>
          <w:rFonts w:hint="eastAsia"/>
          <w:b/>
          <w:bCs/>
          <w:snapToGrid w:val="0"/>
          <w:color w:val="000000"/>
        </w:rPr>
        <w:t>引入创新理念 加快实施城市更新</w:t>
      </w:r>
    </w:p>
    <w:p>
      <w:pPr>
        <w:pStyle w:val="14"/>
        <w:shd w:val="clear" w:color="auto" w:fill="FFFFFF"/>
        <w:spacing w:before="0" w:beforeAutospacing="0" w:after="0" w:afterAutospacing="0" w:line="360" w:lineRule="auto"/>
        <w:ind w:firstLine="480" w:firstLineChars="200"/>
        <w:rPr>
          <w:rFonts w:hint="eastAsia"/>
          <w:snapToGrid w:val="0"/>
          <w:color w:val="000000"/>
        </w:rPr>
      </w:pPr>
      <w:r>
        <w:rPr>
          <w:rFonts w:hint="eastAsia"/>
          <w:snapToGrid w:val="0"/>
          <w:color w:val="000000"/>
        </w:rPr>
        <w:t>据悉，天津城投集团积极践行“人民城市人民建、人民城市为人民”思想，引入“紧凑城市”“精明增长”理念，推动城市更新。截至目前，金钟河大街南侧片区项目已开工建设，该片区项目总占地面积约3.54平方公里，其中完善提升区占地2.79平方公里，覆盖人口11万，涉及小区46个，其中38个为建成于2000年之前的老旧小区。</w:t>
      </w:r>
    </w:p>
    <w:p>
      <w:pPr>
        <w:pStyle w:val="14"/>
        <w:shd w:val="clear" w:color="auto" w:fill="FFFFFF"/>
        <w:spacing w:before="0" w:beforeAutospacing="0" w:after="0" w:afterAutospacing="0" w:line="360" w:lineRule="auto"/>
        <w:ind w:firstLine="480" w:firstLineChars="200"/>
        <w:rPr>
          <w:rFonts w:hint="eastAsia"/>
          <w:snapToGrid w:val="0"/>
          <w:color w:val="000000"/>
        </w:rPr>
      </w:pPr>
      <w:r>
        <w:rPr>
          <w:rFonts w:hint="eastAsia"/>
          <w:snapToGrid w:val="0"/>
          <w:color w:val="000000"/>
        </w:rPr>
        <w:t>同时，天津城投集团正在积极策划尖山八大里、洪泥河片区等城市更新项目，天钢二期、柳林南侧等项目也正在推动中。</w:t>
      </w:r>
    </w:p>
    <w:p>
      <w:pPr>
        <w:pStyle w:val="14"/>
        <w:shd w:val="clear" w:color="auto" w:fill="FFFFFF"/>
        <w:spacing w:before="0" w:beforeAutospacing="0" w:after="0" w:afterAutospacing="0" w:line="360" w:lineRule="auto"/>
        <w:ind w:firstLine="482" w:firstLineChars="200"/>
        <w:rPr>
          <w:rFonts w:hint="eastAsia"/>
          <w:snapToGrid w:val="0"/>
          <w:color w:val="000000"/>
        </w:rPr>
      </w:pPr>
      <w:r>
        <w:rPr>
          <w:rFonts w:hint="eastAsia"/>
          <w:b/>
          <w:bCs/>
          <w:snapToGrid w:val="0"/>
          <w:color w:val="000000"/>
        </w:rPr>
        <w:t>落实“双碳”战略布局 优化环境治理产业生态布局</w:t>
      </w:r>
    </w:p>
    <w:p>
      <w:pPr>
        <w:pStyle w:val="14"/>
        <w:shd w:val="clear" w:color="auto" w:fill="FFFFFF"/>
        <w:spacing w:before="0" w:beforeAutospacing="0" w:after="0" w:afterAutospacing="0" w:line="360" w:lineRule="auto"/>
        <w:ind w:firstLine="480" w:firstLineChars="200"/>
        <w:rPr>
          <w:rFonts w:hint="eastAsia"/>
          <w:snapToGrid w:val="0"/>
          <w:color w:val="000000"/>
        </w:rPr>
      </w:pPr>
      <w:r>
        <w:rPr>
          <w:rFonts w:hint="eastAsia"/>
          <w:snapToGrid w:val="0"/>
          <w:color w:val="000000"/>
        </w:rPr>
        <w:t>围绕落实国家绿色“双碳”战略，天津城投集团优化综合环境治理产业生态布局，拓展固废处理、环境修复领域，构建起“大环保、大水务”业务格局，并积极推进城市污水处理和再生水循环利用，固废与垃圾处理。据悉，天津城投集团共运营污水处理厂49座，污水处理业务涉及全国15个省市，年污水处理量15.4亿吨、污泥处理量66.4万吨、危废处理量13万吨，有效提升了城市环境质量。</w:t>
      </w:r>
    </w:p>
    <w:p>
      <w:pPr>
        <w:pStyle w:val="14"/>
        <w:shd w:val="clear" w:color="auto" w:fill="FFFFFF"/>
        <w:spacing w:before="0" w:beforeAutospacing="0" w:after="0" w:afterAutospacing="0" w:line="360" w:lineRule="auto"/>
        <w:ind w:firstLine="480" w:firstLineChars="200"/>
        <w:rPr>
          <w:rFonts w:hint="eastAsia"/>
          <w:snapToGrid w:val="0"/>
          <w:color w:val="000000"/>
        </w:rPr>
      </w:pPr>
      <w:r>
        <w:rPr>
          <w:rFonts w:hint="eastAsia"/>
          <w:snapToGrid w:val="0"/>
          <w:color w:val="000000"/>
        </w:rPr>
        <w:t>2022年，天津城投集团生态绿屏工程种植总面积达 6440.74亩，用实实在在的“硬招”助力天津市生态环境治理，并打造了“八里湾”生态农旅康养综合体等一批生态康养、乡村振兴项目，让广大市民群众享受到绿水青山带来的美好生活。</w:t>
      </w:r>
    </w:p>
    <w:p>
      <w:pPr>
        <w:pStyle w:val="14"/>
        <w:shd w:val="clear" w:color="auto" w:fill="FFFFFF"/>
        <w:spacing w:before="0" w:beforeAutospacing="0" w:after="0" w:afterAutospacing="0" w:line="360" w:lineRule="auto"/>
        <w:ind w:firstLine="482" w:firstLineChars="200"/>
        <w:rPr>
          <w:rFonts w:hint="eastAsia"/>
          <w:b/>
          <w:bCs/>
          <w:snapToGrid w:val="0"/>
          <w:color w:val="000000"/>
        </w:rPr>
      </w:pPr>
      <w:r>
        <w:rPr>
          <w:rFonts w:hint="eastAsia"/>
          <w:b/>
          <w:bCs/>
          <w:snapToGrid w:val="0"/>
          <w:color w:val="000000"/>
        </w:rPr>
        <w:t>服务“双中心”城市建设 推进天津商业提质升级</w:t>
      </w:r>
    </w:p>
    <w:p>
      <w:pPr>
        <w:pStyle w:val="14"/>
        <w:shd w:val="clear" w:color="auto" w:fill="FFFFFF"/>
        <w:spacing w:before="0" w:beforeAutospacing="0" w:after="0" w:afterAutospacing="0" w:line="360" w:lineRule="auto"/>
        <w:ind w:firstLine="480" w:firstLineChars="200"/>
        <w:rPr>
          <w:rFonts w:hint="eastAsia"/>
          <w:snapToGrid w:val="0"/>
          <w:color w:val="000000"/>
        </w:rPr>
      </w:pPr>
      <w:r>
        <w:rPr>
          <w:rFonts w:hint="eastAsia"/>
          <w:snapToGrid w:val="0"/>
          <w:color w:val="000000"/>
        </w:rPr>
        <w:t>近年来，天津一方面聚焦将消费提质扩容作为扩大内需、引领增长的重要引擎，精心打造区域商贸中心城市；另一方面，用好国内国际两个市场、两种资源，加快培育建设国际消费中心城市。为服务天津市“双中心”城市建设的重大部署，让天津在国内国际双循环的战略支点中不断焕发新活力，天津城投集团着手整合城市资源，提质增效经营性资产。目前，天津城投集团正重点打造海河沿线经济带，以及持续推动津湾广场商业提级、摩天轮改造升级。</w:t>
      </w:r>
    </w:p>
    <w:p>
      <w:pPr>
        <w:pStyle w:val="14"/>
        <w:shd w:val="clear" w:color="auto" w:fill="FFFFFF"/>
        <w:spacing w:before="0" w:beforeAutospacing="0" w:after="0" w:afterAutospacing="0" w:line="360" w:lineRule="auto"/>
        <w:ind w:firstLine="480" w:firstLineChars="200"/>
        <w:rPr>
          <w:rFonts w:hint="eastAsia"/>
          <w:snapToGrid w:val="0"/>
          <w:color w:val="000000"/>
          <w:lang w:val="en-US" w:eastAsia="zh-CN"/>
        </w:rPr>
      </w:pPr>
      <w:r>
        <w:rPr>
          <w:rFonts w:hint="eastAsia"/>
          <w:snapToGrid w:val="0"/>
          <w:color w:val="000000"/>
        </w:rPr>
        <w:t>“未来，我们将做优做强交通与建设、城市更新、环境与水务、城市资产经营四大业务板块，在推进‘中国式现代化’中履行城投之责、贡献城投之为、展现城投之进，为天津‘四高’大都市建设加力‘添秤’！”赵鹏说道。</w:t>
      </w:r>
    </w:p>
    <w:p>
      <w:pPr>
        <w:pStyle w:val="9"/>
        <w:rPr>
          <w:rFonts w:hint="eastAsia" w:ascii="宋体" w:hAnsi="宋体" w:eastAsia="宋体" w:cs="宋体"/>
          <w:snapToGrid w:val="0"/>
          <w:color w:val="000000"/>
          <w:kern w:val="0"/>
          <w:sz w:val="24"/>
          <w:szCs w:val="24"/>
          <w:lang w:val="en-US" w:eastAsia="zh-CN" w:bidi="ar-SA"/>
        </w:rPr>
      </w:pPr>
    </w:p>
    <w:p>
      <w:pPr>
        <w:rPr>
          <w:rFonts w:hint="eastAsia"/>
          <w:lang w:val="en-US" w:eastAsia="zh-CN"/>
        </w:rPr>
      </w:pPr>
    </w:p>
    <w:p>
      <w:pPr>
        <w:pStyle w:val="24"/>
        <w:rPr>
          <w:rFonts w:hint="eastAsia"/>
          <w:lang w:val="en-US" w:eastAsia="zh-CN"/>
        </w:rPr>
      </w:pPr>
    </w:p>
    <w:p>
      <w:pPr>
        <w:pStyle w:val="10"/>
        <w:rPr>
          <w:rFonts w:hint="eastAsia"/>
          <w:lang w:val="en-US" w:eastAsia="zh-CN"/>
        </w:rPr>
      </w:pPr>
    </w:p>
    <w:p>
      <w:pPr>
        <w:pStyle w:val="10"/>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兰溪城投8.13亿元竞得金华兰溪市1宗商住用地</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来源：中国网地产</w:t>
      </w:r>
      <w:bookmarkStart w:id="0" w:name="_GoBack"/>
      <w:bookmarkEnd w:id="0"/>
    </w:p>
    <w:p>
      <w:pPr>
        <w:pStyle w:val="13"/>
        <w:rPr>
          <w:rFonts w:hint="default"/>
          <w:lang w:val="en-US" w:eastAsia="zh-CN"/>
        </w:rPr>
      </w:pP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9264;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LNmA&#10;1wAAAAgBAAAPAAAAAAAAAAEAIAAAACIAAABkcnMvZG93bnJldi54bWxQSwECFAAUAAAACACHTuJA&#10;32TMI+kBAADeAwAADgAAAAAAAAABACAAAAAmAQAAZHJzL2Uyb0RvYy54bWxQSwUGAAAAAAYABgBZ&#10;AQAAgQUAAAAA&#10;">
                <v:fill on="f" focussize="0,0"/>
                <v:stroke color="#000000" joinstyle="round"/>
                <v:imagedata o:title=""/>
                <o:lock v:ext="edit" aspectratio="f"/>
              </v:line>
            </w:pict>
          </mc:Fallback>
        </mc:AlternateContent>
      </w:r>
    </w:p>
    <w:p>
      <w:pPr>
        <w:pStyle w:val="14"/>
        <w:shd w:val="clear" w:color="auto" w:fill="FFFFFF"/>
        <w:spacing w:before="0" w:beforeAutospacing="0" w:after="0" w:afterAutospacing="0" w:line="360" w:lineRule="auto"/>
        <w:ind w:firstLine="480" w:firstLineChars="200"/>
        <w:rPr>
          <w:rFonts w:hint="eastAsia"/>
          <w:snapToGrid w:val="0"/>
          <w:color w:val="000000"/>
        </w:rPr>
      </w:pPr>
      <w:r>
        <w:rPr>
          <w:rFonts w:hint="eastAsia"/>
          <w:snapToGrid w:val="0"/>
          <w:color w:val="000000"/>
        </w:rPr>
        <w:t>11月23日，金华兰溪市1宗商住用地成功出让，仅1轮报价，兰溪市鼎佳房地产开发有限公司（兰溪城投）以底价8.13亿元竞得兰溪市科技工业园周边2#地块，楼面价6375元/㎡。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snapToGrid w:val="0"/>
          <w:color w:val="000000"/>
        </w:rPr>
      </w:pPr>
      <w:r>
        <w:rPr>
          <w:rFonts w:hint="eastAsia"/>
          <w:snapToGrid w:val="0"/>
          <w:color w:val="000000"/>
        </w:rPr>
        <w:t>地块编号兰自然资规让告字2022第33号，地块名称为科技工业园周边2#地块，出让面积6.38万平，土地用途为商住用地，容积率2，建筑面积12.76万平，起始价8.14亿元。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snapToGrid w:val="0"/>
          <w:color w:val="000000"/>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2022</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11</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0MTA1MTI0ZTQ0MjQxMzQ0YWM2OGRkNjFlMzNiOGQifQ=="/>
  </w:docVars>
  <w:rsids>
    <w:rsidRoot w:val="135711B6"/>
    <w:rsid w:val="01B34423"/>
    <w:rsid w:val="02E9239D"/>
    <w:rsid w:val="03802FAA"/>
    <w:rsid w:val="05605221"/>
    <w:rsid w:val="07183EFD"/>
    <w:rsid w:val="08CE3340"/>
    <w:rsid w:val="0B49215B"/>
    <w:rsid w:val="0C1510B5"/>
    <w:rsid w:val="0C323478"/>
    <w:rsid w:val="0C8B726C"/>
    <w:rsid w:val="0CCF11AA"/>
    <w:rsid w:val="0D3D3AF9"/>
    <w:rsid w:val="0D701297"/>
    <w:rsid w:val="0DA44F1F"/>
    <w:rsid w:val="0E3837D3"/>
    <w:rsid w:val="106814C6"/>
    <w:rsid w:val="10C90ABD"/>
    <w:rsid w:val="11242915"/>
    <w:rsid w:val="11B2016B"/>
    <w:rsid w:val="11B25936"/>
    <w:rsid w:val="11C26D1D"/>
    <w:rsid w:val="135711B6"/>
    <w:rsid w:val="14F93A27"/>
    <w:rsid w:val="150220D3"/>
    <w:rsid w:val="17E65176"/>
    <w:rsid w:val="1A864608"/>
    <w:rsid w:val="1C077BB4"/>
    <w:rsid w:val="1D644D34"/>
    <w:rsid w:val="1D9F067F"/>
    <w:rsid w:val="1E8C2F5B"/>
    <w:rsid w:val="1FA10BF3"/>
    <w:rsid w:val="21AF5AE2"/>
    <w:rsid w:val="21D167FF"/>
    <w:rsid w:val="21E343D1"/>
    <w:rsid w:val="221678A0"/>
    <w:rsid w:val="22593A46"/>
    <w:rsid w:val="24093C83"/>
    <w:rsid w:val="25140E91"/>
    <w:rsid w:val="2661183B"/>
    <w:rsid w:val="26D66E8E"/>
    <w:rsid w:val="286859B9"/>
    <w:rsid w:val="298433C2"/>
    <w:rsid w:val="29894E55"/>
    <w:rsid w:val="2B4E6124"/>
    <w:rsid w:val="2BC96687"/>
    <w:rsid w:val="2CC17CB9"/>
    <w:rsid w:val="2DBD30F1"/>
    <w:rsid w:val="2DCF4E54"/>
    <w:rsid w:val="2DF16AF6"/>
    <w:rsid w:val="2DFB280F"/>
    <w:rsid w:val="2ECA5F7D"/>
    <w:rsid w:val="2F1D4CC3"/>
    <w:rsid w:val="30253624"/>
    <w:rsid w:val="32E50573"/>
    <w:rsid w:val="33DA324C"/>
    <w:rsid w:val="351D0E15"/>
    <w:rsid w:val="364879E2"/>
    <w:rsid w:val="3773053B"/>
    <w:rsid w:val="37B874E3"/>
    <w:rsid w:val="387E2BC0"/>
    <w:rsid w:val="3AD010DD"/>
    <w:rsid w:val="3CEB33CD"/>
    <w:rsid w:val="4247545C"/>
    <w:rsid w:val="42D84824"/>
    <w:rsid w:val="43215475"/>
    <w:rsid w:val="441A3D4C"/>
    <w:rsid w:val="44FD6564"/>
    <w:rsid w:val="467D421D"/>
    <w:rsid w:val="480B25EE"/>
    <w:rsid w:val="4890330D"/>
    <w:rsid w:val="48D21008"/>
    <w:rsid w:val="4CEB02D2"/>
    <w:rsid w:val="4D227684"/>
    <w:rsid w:val="4D392193"/>
    <w:rsid w:val="53410626"/>
    <w:rsid w:val="53730655"/>
    <w:rsid w:val="54F17583"/>
    <w:rsid w:val="55B1257D"/>
    <w:rsid w:val="55C004DD"/>
    <w:rsid w:val="5A30331E"/>
    <w:rsid w:val="5B951F4C"/>
    <w:rsid w:val="5E0D378B"/>
    <w:rsid w:val="5EBB0E8D"/>
    <w:rsid w:val="5F1E5AC5"/>
    <w:rsid w:val="602C7E0F"/>
    <w:rsid w:val="60C01E77"/>
    <w:rsid w:val="61140174"/>
    <w:rsid w:val="63DE67DB"/>
    <w:rsid w:val="64CF6463"/>
    <w:rsid w:val="678E1AC9"/>
    <w:rsid w:val="69DD0A53"/>
    <w:rsid w:val="6CE1567F"/>
    <w:rsid w:val="6D3D22B1"/>
    <w:rsid w:val="6D84762F"/>
    <w:rsid w:val="70594F33"/>
    <w:rsid w:val="713016CA"/>
    <w:rsid w:val="72662AEE"/>
    <w:rsid w:val="72AB6650"/>
    <w:rsid w:val="72C82FFA"/>
    <w:rsid w:val="7416122C"/>
    <w:rsid w:val="74ED1E7C"/>
    <w:rsid w:val="767203B6"/>
    <w:rsid w:val="77436B61"/>
    <w:rsid w:val="782A0984"/>
    <w:rsid w:val="783E0425"/>
    <w:rsid w:val="78C228B5"/>
    <w:rsid w:val="7CE10643"/>
    <w:rsid w:val="7D917E57"/>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5">
    <w:name w:val="Normal Indent"/>
    <w:basedOn w:val="1"/>
    <w:next w:val="1"/>
    <w:qFormat/>
    <w:uiPriority w:val="0"/>
    <w:pPr>
      <w:ind w:firstLine="964" w:firstLineChars="200"/>
    </w:pPr>
    <w:rPr>
      <w:sz w:val="28"/>
    </w:rPr>
  </w:style>
  <w:style w:type="paragraph" w:styleId="6">
    <w:name w:val="Body Text"/>
    <w:basedOn w:val="1"/>
    <w:next w:val="7"/>
    <w:qFormat/>
    <w:uiPriority w:val="0"/>
    <w:pPr>
      <w:spacing w:before="240" w:beforeLines="0" w:after="60" w:afterLines="0"/>
      <w:ind w:firstLine="640" w:firstLineChars="200"/>
      <w:jc w:val="center"/>
      <w:outlineLvl w:val="0"/>
    </w:pPr>
    <w:rPr>
      <w:rFonts w:ascii="仿宋_GB2312" w:hAnsi="仿宋_GB2312" w:cs="仿宋_GB2312"/>
      <w:sz w:val="21"/>
      <w:szCs w:val="32"/>
    </w:rPr>
  </w:style>
  <w:style w:type="paragraph" w:styleId="7">
    <w:name w:val="Title"/>
    <w:basedOn w:val="1"/>
    <w:next w:val="1"/>
    <w:qFormat/>
    <w:uiPriority w:val="0"/>
    <w:pPr>
      <w:widowControl w:val="0"/>
      <w:spacing w:before="240" w:beforeLines="0" w:after="60" w:afterLines="0"/>
      <w:jc w:val="center"/>
      <w:outlineLvl w:val="0"/>
    </w:pPr>
    <w:rPr>
      <w:rFonts w:ascii="Cambria" w:hAnsi="Cambria"/>
      <w:b/>
      <w:bCs/>
      <w:kern w:val="2"/>
      <w:sz w:val="32"/>
      <w:szCs w:val="32"/>
    </w:rPr>
  </w:style>
  <w:style w:type="paragraph" w:styleId="8">
    <w:name w:val="Body Text Indent"/>
    <w:basedOn w:val="1"/>
    <w:next w:val="9"/>
    <w:qFormat/>
    <w:uiPriority w:val="0"/>
    <w:pPr>
      <w:ind w:left="420" w:leftChars="200"/>
    </w:pPr>
    <w:rPr>
      <w:kern w:val="2"/>
      <w:sz w:val="21"/>
      <w:szCs w:val="24"/>
    </w:rPr>
  </w:style>
  <w:style w:type="paragraph" w:styleId="9">
    <w:name w:val="Body Text First Indent 2"/>
    <w:basedOn w:val="8"/>
    <w:next w:val="1"/>
    <w:qFormat/>
    <w:uiPriority w:val="0"/>
    <w:pPr>
      <w:widowControl w:val="0"/>
      <w:ind w:firstLine="420"/>
      <w:jc w:val="both"/>
    </w:pPr>
    <w:rPr>
      <w:kern w:val="2"/>
      <w:sz w:val="21"/>
      <w:szCs w:val="24"/>
    </w:rPr>
  </w:style>
  <w:style w:type="paragraph" w:styleId="10">
    <w:name w:val="Plain Text"/>
    <w:basedOn w:val="1"/>
    <w:qFormat/>
    <w:uiPriority w:val="0"/>
    <w:rPr>
      <w:rFonts w:ascii="宋体" w:hAnsi="Courier New" w:cs="Courier New"/>
      <w:szCs w:val="21"/>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3">
    <w:name w:val="footnote text"/>
    <w:basedOn w:val="1"/>
    <w:qFormat/>
    <w:uiPriority w:val="0"/>
    <w:pPr>
      <w:snapToGrid w:val="0"/>
      <w:jc w:val="left"/>
    </w:pPr>
    <w:rPr>
      <w:sz w:val="18"/>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7">
    <w:name w:val="Strong"/>
    <w:basedOn w:val="16"/>
    <w:qFormat/>
    <w:uiPriority w:val="0"/>
    <w:rPr>
      <w:b/>
    </w:rPr>
  </w:style>
  <w:style w:type="character" w:styleId="18">
    <w:name w:val="page number"/>
    <w:basedOn w:val="16"/>
    <w:qFormat/>
    <w:uiPriority w:val="0"/>
  </w:style>
  <w:style w:type="character" w:styleId="19">
    <w:name w:val="FollowedHyperlink"/>
    <w:basedOn w:val="16"/>
    <w:qFormat/>
    <w:uiPriority w:val="0"/>
    <w:rPr>
      <w:rFonts w:hint="eastAsia" w:ascii="宋体" w:hAnsi="宋体" w:eastAsia="宋体" w:cs="宋体"/>
      <w:color w:val="333333"/>
      <w:u w:val="none"/>
    </w:rPr>
  </w:style>
  <w:style w:type="character" w:styleId="20">
    <w:name w:val="Emphasis"/>
    <w:basedOn w:val="16"/>
    <w:qFormat/>
    <w:uiPriority w:val="0"/>
    <w:rPr>
      <w:i/>
    </w:rPr>
  </w:style>
  <w:style w:type="character" w:styleId="21">
    <w:name w:val="Hyperlink"/>
    <w:basedOn w:val="16"/>
    <w:qFormat/>
    <w:uiPriority w:val="0"/>
    <w:rPr>
      <w:rFonts w:hint="eastAsia" w:ascii="宋体" w:hAnsi="宋体" w:eastAsia="宋体" w:cs="宋体"/>
      <w:color w:val="333333"/>
      <w:u w:val="none"/>
    </w:rPr>
  </w:style>
  <w:style w:type="character" w:styleId="22">
    <w:name w:val="HTML Code"/>
    <w:basedOn w:val="16"/>
    <w:qFormat/>
    <w:uiPriority w:val="0"/>
    <w:rPr>
      <w:rFonts w:ascii="Courier New" w:hAnsi="Courier New"/>
      <w:sz w:val="20"/>
    </w:rPr>
  </w:style>
  <w:style w:type="character" w:styleId="23">
    <w:name w:val="HTML Cite"/>
    <w:basedOn w:val="16"/>
    <w:qFormat/>
    <w:uiPriority w:val="0"/>
    <w:rPr>
      <w:i/>
    </w:rPr>
  </w:style>
  <w:style w:type="paragraph" w:customStyle="1" w:styleId="24">
    <w:name w:val="样式4"/>
    <w:basedOn w:val="10"/>
    <w:next w:val="10"/>
    <w:qFormat/>
    <w:uiPriority w:val="0"/>
    <w:pPr>
      <w:spacing w:line="500" w:lineRule="exact"/>
      <w:ind w:firstLine="200" w:firstLineChars="200"/>
    </w:pPr>
    <w:rPr>
      <w:rFonts w:cs="Courier New"/>
      <w:b/>
      <w:color w:val="FF0000"/>
      <w:spacing w:val="-6"/>
      <w:kern w:val="0"/>
      <w:sz w:val="30"/>
      <w:szCs w:val="30"/>
    </w:rPr>
  </w:style>
  <w:style w:type="character" w:customStyle="1" w:styleId="25">
    <w:name w:val="bds_more"/>
    <w:basedOn w:val="16"/>
    <w:qFormat/>
    <w:uiPriority w:val="0"/>
  </w:style>
  <w:style w:type="character" w:customStyle="1" w:styleId="26">
    <w:name w:val="bds_nopic"/>
    <w:basedOn w:val="16"/>
    <w:qFormat/>
    <w:uiPriority w:val="0"/>
  </w:style>
  <w:style w:type="character" w:customStyle="1" w:styleId="27">
    <w:name w:val="bds_nopic1"/>
    <w:basedOn w:val="16"/>
    <w:qFormat/>
    <w:uiPriority w:val="0"/>
  </w:style>
  <w:style w:type="character" w:customStyle="1" w:styleId="28">
    <w:name w:val="bds_nopic2"/>
    <w:basedOn w:val="16"/>
    <w:qFormat/>
    <w:uiPriority w:val="0"/>
  </w:style>
  <w:style w:type="character" w:customStyle="1" w:styleId="29">
    <w:name w:val="current"/>
    <w:basedOn w:val="16"/>
    <w:qFormat/>
    <w:uiPriority w:val="0"/>
    <w:rPr>
      <w:b/>
      <w:color w:val="666666"/>
      <w:bdr w:val="single" w:color="E0E0E0" w:sz="6" w:space="0"/>
      <w:shd w:val="clear" w:fill="F0F0F0"/>
    </w:rPr>
  </w:style>
  <w:style w:type="character" w:customStyle="1" w:styleId="30">
    <w:name w:val="disabled"/>
    <w:basedOn w:val="16"/>
    <w:qFormat/>
    <w:uiPriority w:val="0"/>
    <w:rPr>
      <w:color w:val="CCCCCC"/>
      <w:bdr w:val="single" w:color="DBDADA" w:sz="6" w:space="0"/>
    </w:rPr>
  </w:style>
  <w:style w:type="character" w:customStyle="1" w:styleId="31">
    <w:name w:val="tab_active"/>
    <w:basedOn w:val="16"/>
    <w:qFormat/>
    <w:uiPriority w:val="0"/>
    <w:rPr>
      <w:color w:val="666666"/>
    </w:rPr>
  </w:style>
  <w:style w:type="character" w:customStyle="1" w:styleId="32">
    <w:name w:val="current2"/>
    <w:basedOn w:val="16"/>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1713</Words>
  <Characters>1785</Characters>
  <Lines>0</Lines>
  <Paragraphs>0</Paragraphs>
  <TotalTime>13</TotalTime>
  <ScaleCrop>false</ScaleCrop>
  <LinksUpToDate>false</LinksUpToDate>
  <CharactersWithSpaces>1791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嘤嘤嘤^^</cp:lastModifiedBy>
  <dcterms:modified xsi:type="dcterms:W3CDTF">2023-01-23T06:10:51Z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94D68A1A2BAA4D88B8E1D5E94F87C7FD</vt:lpwstr>
  </property>
</Properties>
</file>