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210" w:afterAutospacing="0" w:line="560" w:lineRule="exact"/>
        <w:ind w:left="0" w:right="0" w:firstLine="0"/>
        <w:jc w:val="center"/>
        <w:rPr>
          <w:rFonts w:hint="eastAsia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  <w:t>青岛城投集团投资30余个重点产业链项目，投资总规模近90亿元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center"/>
        <w:textAlignment w:val="auto"/>
        <w:outlineLvl w:val="9"/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来源：青岛日报</w:t>
      </w:r>
    </w:p>
    <w:p>
      <w:pPr>
        <w:pStyle w:val="10"/>
        <w:rPr>
          <w:rFonts w:hint="eastAsia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148590</wp:posOffset>
                </wp:positionV>
                <wp:extent cx="5511165" cy="444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16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6.5pt;margin-top:11.7pt;height:0.35pt;width:433.95pt;z-index:251659264;mso-width-relative:page;mso-height-relative:page;" filled="f" stroked="t" coordsize="21600,21600" o:gfxdata="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/BkrjYAAAACQEAAA8AAAAAAAAAAQAgAAAAIgAA&#10;AGRycy9kb3ducmV2LnhtbFBLAQIUABQAAAAIAIdO4kBRh1uwzwEAAJADAAAOAAAAAAAAAAEAIAAA&#10;ACc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24"/>
          <w:szCs w:val="24"/>
          <w:lang w:val="en-US" w:eastAsia="zh-CN" w:bidi="ar-SA"/>
        </w:rPr>
        <w:t>国资“开路”，担当产业布局“强引擎”</w:t>
      </w:r>
    </w:p>
    <w:p>
      <w:pPr>
        <w:pStyle w:val="1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去年2月奇瑞汽车在即墨区投资建厂，今年年初华人运通高合汽车将中国总部落地青岛，青岛汽车产业在短短一年多时间内迎来了跃迁式发展。作为两个项目背后重要的资本“推手”，青岛城投集团以资本运作撬动了一个产业的集群发展。</w:t>
      </w:r>
    </w:p>
    <w:p>
      <w:pPr>
        <w:pStyle w:val="1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当下，青岛市正在加快打造现代产业先行城市，加快构建具有国际竞争力的现代产业体系。作为青岛市国有资本投资运营公司改革试点企业，青岛城投集团在城市新兴产业布局、产业结构优化中担当“急先锋”和“强引擎”，通过直接投资以及股权、基金投资等资本运作形式，推动城市产业资源向产业链关键环节和价值链高端集聚，前瞻布局战略性新兴产业，构筑城市现代产业骨架。</w:t>
      </w:r>
    </w:p>
    <w:p>
      <w:pPr>
        <w:pStyle w:val="1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24"/>
          <w:szCs w:val="24"/>
          <w:lang w:val="en-US" w:eastAsia="zh-CN" w:bidi="ar-SA"/>
        </w:rPr>
        <w:t>重量级项目背后的“城投身影”</w:t>
      </w:r>
    </w:p>
    <w:p>
      <w:pPr>
        <w:pStyle w:val="1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城市之间的竞速是产业的竞速。青岛城投集团投资30余个重点产业链项目，投资总规模近90亿元。</w:t>
      </w:r>
    </w:p>
    <w:p>
      <w:pPr>
        <w:pStyle w:val="1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面向城市未来产业布局，青岛城投集团在“十四五”规划中提出以城市战略产业投资运营为三大主业之一，打造城市重大战略产业投资“强引擎”。在汽车产业、新能源和新材料产业、新一代信息技术等新兴产业领域，多个重量级大项目背后都有“城投身影”。近年来，青岛城投集团已引入多个项目“架桥铺路”，为城市新兴产业发展积蓄力量、增添动能。</w:t>
      </w:r>
    </w:p>
    <w:p>
      <w:pPr>
        <w:pStyle w:val="1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2021年6月，青岛城投集团引入奥地利钻石飞机项目，一举改写了青岛通航产业的发展格局。在新材料产业，青岛城投集团为西海岸新区落地的5G+AI半导体显示新材料项目投资20亿元，为建设化工新材料产业基地项目及液晶显示材料项目投资55亿元。在新能源产业赛道，青岛城投集团成为全省国企新能源发电领域的龙头企业，新能源电站的装机容量达2.6GW，全年累计发电38亿千瓦时；在集成电路产业领域，今年投资5亿元参与芯恩半导体项目、投资14亿元参与荣芯半导体项目。</w:t>
      </w:r>
    </w:p>
    <w:p>
      <w:pPr>
        <w:pStyle w:val="1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24"/>
          <w:szCs w:val="24"/>
          <w:lang w:val="en-US" w:eastAsia="zh-CN" w:bidi="ar-SA"/>
        </w:rPr>
        <w:t>新兴产业背后的“资本推手”</w:t>
      </w:r>
    </w:p>
    <w:p>
      <w:pPr>
        <w:pStyle w:val="1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奇瑞汽车、高合汽车等行业龙头企业在产业链内拥有最优位置和最强话语权。一座城市的产业布局离不开龙头企业的产业辐射和资源带动，这也是青岛城投集团招引龙头企业和总部级项目的逻辑起点。</w:t>
      </w:r>
    </w:p>
    <w:p>
      <w:pPr>
        <w:pStyle w:val="1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大手笔的产业项目背后离不开巨量资本的运筹。从汽车产业、通航产业到集成电路产业、新能源新材料产业，这些资本、技术密集型产业的成长背后都需要强力的“资本推手”。“青岛城投集团通过股权投资、基金等多种方式不断延长资本‘触角’，为城市产业布局寻找更多、更优质的投资标的。”青岛城投集团相关负责人说，“未来我们将通过选定产业赛道，精准投资行业龙头企业，引进上下游产业链企业形成产业链集群。”青岛城投集团将聚焦新能源和新材料两条赛道，以大手笔的资本运作实现链条式、集群式招商，围绕新一代信息技术、新能源和新材料产业打造2-3个“千亩级”产业园，助力青岛构建新的“千亿级”产业集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近日，2022全国城投公司总资产排行榜正式对外发布。281家城投公司中，青岛城投集团以总资产超4400亿元的规模名列全国第五。匹配城市发展战略、担当国企责任使命，不断壮大的青岛城投集团将在城市产业开路布局中释放更强大的“城投力量”。</w:t>
      </w:r>
    </w:p>
    <w:p>
      <w:pPr>
        <w:pStyle w:val="10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  <w:t>广州城投以底价31.55亿元摘得原恒大足球场用地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宋体" w:hAnsi="宋体" w:eastAsiaTheme="minorEastAsia" w:cstheme="minorBidi"/>
          <w:b/>
          <w:snapToGrid w:val="0"/>
          <w:color w:val="FF0000"/>
          <w:kern w:val="0"/>
          <w:sz w:val="21"/>
          <w:szCs w:val="21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center"/>
        <w:textAlignment w:val="auto"/>
        <w:outlineLvl w:val="9"/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来源：</w:t>
      </w:r>
      <w:r>
        <w:rPr>
          <w:rFonts w:hint="eastAsia" w:ascii="宋体" w:hAnsi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直播吧</w:t>
      </w:r>
      <w:bookmarkStart w:id="0" w:name="_GoBack"/>
      <w:bookmarkEnd w:id="0"/>
    </w:p>
    <w:p>
      <w:pPr>
        <w:pStyle w:val="1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60960</wp:posOffset>
                </wp:positionV>
                <wp:extent cx="5511165" cy="4445"/>
                <wp:effectExtent l="0" t="0" r="0" b="0"/>
                <wp:wrapNone/>
                <wp:docPr id="4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16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6.5pt;margin-top:4.8pt;height:0.35pt;width:433.95pt;z-index:251659264;mso-width-relative:page;mso-height-relative:page;" filled="f" stroked="t" coordsize="21600,21600" o:gfxdata="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CzZgNcAAAAIAQAADwAAAAAAAAABACAAAAAiAAAA&#10;ZHJzL2Rvd25yZXYueG1sUEsBAhQAFAAAAAgAh07iQNlIxZXPAQAAkA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据央广消息，10日，广州2022年第三轮集中供地进行集中出让，共涉地18宗。</w:t>
      </w:r>
    </w:p>
    <w:p>
      <w:pPr>
        <w:pStyle w:val="1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其中，广州城投以底价31.55亿元摘得了番禺区谢村居住及商业商务地块，楼面价为4800.47元/平方米。该地块出让面积228726平方米，规划为商住用地，容积率2.87，建筑面积657300.35平方米，该地块原规划为恒大足球场。</w:t>
      </w:r>
    </w:p>
    <w:p>
      <w:pPr>
        <w:pStyle w:val="1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今年8月，恒大集团在港交所发布公告称，与受让方签订解除协议，解除原合同并退还广州恒大足球场地土地使用权，受让方将支付合计人民币55.2亿元出让金退库款。</w:t>
      </w:r>
    </w:p>
    <w:p>
      <w:pPr>
        <w:pStyle w:val="1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9月，据广州公共资源交易中心显示，广州恒大足球场地块降价“回炉”转让，竞拍底价31.55亿元。</w:t>
      </w:r>
    </w:p>
    <w:p>
      <w:pPr>
        <w:pStyle w:val="1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2020年的时候，恒大以68.13亿的价格取得这宗地块。本次竞拍底价与68亿的拿地金额相比，降价了36.6亿。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按原计划，广州恒大足球场将可容纳10万球迷，总占地约15万平方米，总建筑面积约30万平方米，总投资超120亿人民币。球场按照世界最高水准打造，将成为世界规模最大、档次最高、配套最全、科技含量最高、座位数最多的世界最大国际顶级专业足球场。</w:t>
      </w: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right"/>
        <w:textAlignment w:val="auto"/>
        <w:outlineLvl w:val="9"/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海口市城市建设投资有限公司</w:t>
      </w: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right"/>
        <w:textAlignment w:val="auto"/>
        <w:outlineLvl w:val="9"/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2022</w:t>
      </w:r>
      <w: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年</w:t>
      </w:r>
      <w:r>
        <w:rPr>
          <w:rFonts w:hint="eastAsia" w:ascii="宋体" w:hAnsi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10</w:t>
      </w:r>
      <w: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30</w:t>
      </w:r>
      <w: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711B6"/>
    <w:rsid w:val="01B34423"/>
    <w:rsid w:val="02E9239D"/>
    <w:rsid w:val="03802FAA"/>
    <w:rsid w:val="05605221"/>
    <w:rsid w:val="07183EFD"/>
    <w:rsid w:val="08CE3340"/>
    <w:rsid w:val="0B49215B"/>
    <w:rsid w:val="0C1510B5"/>
    <w:rsid w:val="0C323478"/>
    <w:rsid w:val="0C8B726C"/>
    <w:rsid w:val="0CCF11AA"/>
    <w:rsid w:val="0D3D3AF9"/>
    <w:rsid w:val="0D701297"/>
    <w:rsid w:val="0E3837D3"/>
    <w:rsid w:val="106814C6"/>
    <w:rsid w:val="10C90ABD"/>
    <w:rsid w:val="11242915"/>
    <w:rsid w:val="11B2016B"/>
    <w:rsid w:val="11B25936"/>
    <w:rsid w:val="11C26D1D"/>
    <w:rsid w:val="135711B6"/>
    <w:rsid w:val="14F93A27"/>
    <w:rsid w:val="150220D3"/>
    <w:rsid w:val="17E65176"/>
    <w:rsid w:val="1A864608"/>
    <w:rsid w:val="1C077BB4"/>
    <w:rsid w:val="1D644D34"/>
    <w:rsid w:val="1D9F067F"/>
    <w:rsid w:val="1E8C2F5B"/>
    <w:rsid w:val="1FA10BF3"/>
    <w:rsid w:val="21AF5AE2"/>
    <w:rsid w:val="21D167FF"/>
    <w:rsid w:val="21E343D1"/>
    <w:rsid w:val="221678A0"/>
    <w:rsid w:val="22593A46"/>
    <w:rsid w:val="24093C83"/>
    <w:rsid w:val="25140E91"/>
    <w:rsid w:val="2661183B"/>
    <w:rsid w:val="26D66E8E"/>
    <w:rsid w:val="286859B9"/>
    <w:rsid w:val="298433C2"/>
    <w:rsid w:val="29894E55"/>
    <w:rsid w:val="2B4E6124"/>
    <w:rsid w:val="2BC96687"/>
    <w:rsid w:val="2CC17CB9"/>
    <w:rsid w:val="2DBD30F1"/>
    <w:rsid w:val="2DCF4E54"/>
    <w:rsid w:val="2DF16AF6"/>
    <w:rsid w:val="2DFB280F"/>
    <w:rsid w:val="2ECA5F7D"/>
    <w:rsid w:val="2F1D4CC3"/>
    <w:rsid w:val="30253624"/>
    <w:rsid w:val="32E50573"/>
    <w:rsid w:val="351D0E15"/>
    <w:rsid w:val="364879E2"/>
    <w:rsid w:val="3773053B"/>
    <w:rsid w:val="37B874E3"/>
    <w:rsid w:val="387E2BC0"/>
    <w:rsid w:val="3AD010DD"/>
    <w:rsid w:val="3CEB33CD"/>
    <w:rsid w:val="4247545C"/>
    <w:rsid w:val="42D84824"/>
    <w:rsid w:val="43215475"/>
    <w:rsid w:val="441A3D4C"/>
    <w:rsid w:val="44FD6564"/>
    <w:rsid w:val="467D421D"/>
    <w:rsid w:val="480B25EE"/>
    <w:rsid w:val="4890330D"/>
    <w:rsid w:val="48D21008"/>
    <w:rsid w:val="4CEB02D2"/>
    <w:rsid w:val="4D227684"/>
    <w:rsid w:val="4D392193"/>
    <w:rsid w:val="53410626"/>
    <w:rsid w:val="53730655"/>
    <w:rsid w:val="54F17583"/>
    <w:rsid w:val="55B1257D"/>
    <w:rsid w:val="55C004DD"/>
    <w:rsid w:val="5A30331E"/>
    <w:rsid w:val="5B951F4C"/>
    <w:rsid w:val="5E0D378B"/>
    <w:rsid w:val="5EBB0E8D"/>
    <w:rsid w:val="5F1E5AC5"/>
    <w:rsid w:val="602C7E0F"/>
    <w:rsid w:val="60C01E77"/>
    <w:rsid w:val="61140174"/>
    <w:rsid w:val="63DE67DB"/>
    <w:rsid w:val="64CF6463"/>
    <w:rsid w:val="678E1AC9"/>
    <w:rsid w:val="69DD0A53"/>
    <w:rsid w:val="6CE1567F"/>
    <w:rsid w:val="6D3D22B1"/>
    <w:rsid w:val="6D84762F"/>
    <w:rsid w:val="70594F33"/>
    <w:rsid w:val="713016CA"/>
    <w:rsid w:val="72662AEE"/>
    <w:rsid w:val="72AB6650"/>
    <w:rsid w:val="72C82FFA"/>
    <w:rsid w:val="7416122C"/>
    <w:rsid w:val="74ED1E7C"/>
    <w:rsid w:val="767203B6"/>
    <w:rsid w:val="77436B61"/>
    <w:rsid w:val="782A0984"/>
    <w:rsid w:val="783E0425"/>
    <w:rsid w:val="78C228B5"/>
    <w:rsid w:val="7CE10643"/>
    <w:rsid w:val="7D917E57"/>
    <w:rsid w:val="7DDA2A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7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4"/>
    <w:basedOn w:val="3"/>
    <w:next w:val="3"/>
    <w:qFormat/>
    <w:uiPriority w:val="0"/>
    <w:pPr>
      <w:spacing w:line="500" w:lineRule="exact"/>
      <w:ind w:firstLine="200" w:firstLineChars="200"/>
    </w:pPr>
    <w:rPr>
      <w:rFonts w:cs="Courier New"/>
      <w:b/>
      <w:color w:val="FF0000"/>
      <w:spacing w:val="-6"/>
      <w:kern w:val="0"/>
      <w:sz w:val="30"/>
      <w:szCs w:val="30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Normal Indent"/>
    <w:basedOn w:val="1"/>
    <w:next w:val="1"/>
    <w:qFormat/>
    <w:uiPriority w:val="0"/>
    <w:pPr>
      <w:ind w:firstLine="964" w:firstLineChars="200"/>
    </w:pPr>
    <w:rPr>
      <w:sz w:val="28"/>
    </w:rPr>
  </w:style>
  <w:style w:type="paragraph" w:styleId="7">
    <w:name w:val="Body Text"/>
    <w:basedOn w:val="1"/>
    <w:next w:val="8"/>
    <w:qFormat/>
    <w:uiPriority w:val="0"/>
    <w:pPr>
      <w:spacing w:before="240" w:beforeLines="0" w:after="60" w:afterLines="0"/>
      <w:ind w:firstLine="640" w:firstLineChars="200"/>
      <w:jc w:val="center"/>
      <w:outlineLvl w:val="0"/>
    </w:pPr>
    <w:rPr>
      <w:rFonts w:ascii="仿宋_GB2312" w:hAnsi="仿宋_GB2312" w:cs="仿宋_GB2312"/>
      <w:sz w:val="21"/>
      <w:szCs w:val="32"/>
    </w:rPr>
  </w:style>
  <w:style w:type="paragraph" w:styleId="8">
    <w:name w:val="Title"/>
    <w:basedOn w:val="1"/>
    <w:next w:val="1"/>
    <w:qFormat/>
    <w:uiPriority w:val="0"/>
    <w:pPr>
      <w:widowControl w:val="0"/>
      <w:spacing w:before="240" w:beforeLines="0" w:after="60" w:afterLines="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9">
    <w:name w:val="Body Text Indent"/>
    <w:basedOn w:val="1"/>
    <w:next w:val="10"/>
    <w:qFormat/>
    <w:uiPriority w:val="0"/>
    <w:pPr>
      <w:ind w:left="420" w:leftChars="200"/>
    </w:pPr>
    <w:rPr>
      <w:kern w:val="2"/>
      <w:sz w:val="21"/>
      <w:szCs w:val="24"/>
    </w:rPr>
  </w:style>
  <w:style w:type="paragraph" w:styleId="10">
    <w:name w:val="Body Text First Indent 2"/>
    <w:basedOn w:val="9"/>
    <w:next w:val="1"/>
    <w:qFormat/>
    <w:uiPriority w:val="0"/>
    <w:pPr>
      <w:widowControl w:val="0"/>
      <w:ind w:firstLine="420"/>
      <w:jc w:val="both"/>
    </w:pPr>
    <w:rPr>
      <w:kern w:val="2"/>
      <w:sz w:val="21"/>
      <w:szCs w:val="24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13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4">
    <w:name w:val="toc 2"/>
    <w:basedOn w:val="1"/>
    <w:next w:val="1"/>
    <w:qFormat/>
    <w:uiPriority w:val="0"/>
    <w:pPr>
      <w:ind w:left="420" w:leftChars="200"/>
    </w:pPr>
  </w:style>
  <w:style w:type="paragraph" w:styleId="1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8">
    <w:name w:val="Strong"/>
    <w:basedOn w:val="17"/>
    <w:qFormat/>
    <w:uiPriority w:val="0"/>
    <w:rPr>
      <w:b/>
    </w:rPr>
  </w:style>
  <w:style w:type="character" w:styleId="19">
    <w:name w:val="page number"/>
    <w:basedOn w:val="17"/>
    <w:qFormat/>
    <w:uiPriority w:val="0"/>
  </w:style>
  <w:style w:type="character" w:styleId="20">
    <w:name w:val="FollowedHyperlink"/>
    <w:basedOn w:val="17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styleId="21">
    <w:name w:val="Emphasis"/>
    <w:basedOn w:val="17"/>
    <w:qFormat/>
    <w:uiPriority w:val="0"/>
    <w:rPr>
      <w:i/>
    </w:rPr>
  </w:style>
  <w:style w:type="character" w:styleId="22">
    <w:name w:val="Hyperlink"/>
    <w:basedOn w:val="17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styleId="23">
    <w:name w:val="HTML Code"/>
    <w:basedOn w:val="17"/>
    <w:qFormat/>
    <w:uiPriority w:val="0"/>
    <w:rPr>
      <w:rFonts w:ascii="Courier New" w:hAnsi="Courier New"/>
      <w:sz w:val="20"/>
    </w:rPr>
  </w:style>
  <w:style w:type="character" w:styleId="24">
    <w:name w:val="HTML Cite"/>
    <w:basedOn w:val="17"/>
    <w:qFormat/>
    <w:uiPriority w:val="0"/>
    <w:rPr>
      <w:i/>
    </w:rPr>
  </w:style>
  <w:style w:type="character" w:customStyle="1" w:styleId="25">
    <w:name w:val="bds_more"/>
    <w:basedOn w:val="17"/>
    <w:qFormat/>
    <w:uiPriority w:val="0"/>
  </w:style>
  <w:style w:type="character" w:customStyle="1" w:styleId="26">
    <w:name w:val="bds_nopic"/>
    <w:basedOn w:val="17"/>
    <w:qFormat/>
    <w:uiPriority w:val="0"/>
  </w:style>
  <w:style w:type="character" w:customStyle="1" w:styleId="27">
    <w:name w:val="bds_nopic1"/>
    <w:basedOn w:val="17"/>
    <w:qFormat/>
    <w:uiPriority w:val="0"/>
  </w:style>
  <w:style w:type="character" w:customStyle="1" w:styleId="28">
    <w:name w:val="bds_nopic2"/>
    <w:basedOn w:val="17"/>
    <w:qFormat/>
    <w:uiPriority w:val="0"/>
  </w:style>
  <w:style w:type="character" w:customStyle="1" w:styleId="29">
    <w:name w:val="current"/>
    <w:basedOn w:val="17"/>
    <w:qFormat/>
    <w:uiPriority w:val="0"/>
    <w:rPr>
      <w:b/>
      <w:color w:val="666666"/>
      <w:bdr w:val="single" w:color="E0E0E0" w:sz="6" w:space="0"/>
      <w:shd w:val="clear" w:fill="F0F0F0"/>
    </w:rPr>
  </w:style>
  <w:style w:type="character" w:customStyle="1" w:styleId="30">
    <w:name w:val="disabled"/>
    <w:basedOn w:val="17"/>
    <w:qFormat/>
    <w:uiPriority w:val="0"/>
    <w:rPr>
      <w:color w:val="CCCCCC"/>
      <w:bdr w:val="single" w:color="DBDADA" w:sz="6" w:space="0"/>
    </w:rPr>
  </w:style>
  <w:style w:type="character" w:customStyle="1" w:styleId="31">
    <w:name w:val="tab_active"/>
    <w:basedOn w:val="17"/>
    <w:qFormat/>
    <w:uiPriority w:val="0"/>
    <w:rPr>
      <w:color w:val="666666"/>
    </w:rPr>
  </w:style>
  <w:style w:type="character" w:customStyle="1" w:styleId="32">
    <w:name w:val="current2"/>
    <w:basedOn w:val="17"/>
    <w:qFormat/>
    <w:uiPriority w:val="0"/>
    <w:rPr>
      <w:b/>
      <w:color w:val="666666"/>
      <w:bdr w:val="single" w:color="E0E0E0" w:sz="6" w:space="0"/>
      <w:shd w:val="clear" w:fill="F0F0F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2017-02-24T02:28:00Z</dcterms:created>
  <dc:creator>lenovo</dc:creator>
  <cp:lastModifiedBy>Administrator</cp:lastModifiedBy>
  <dcterms:modified xsi:type="dcterms:W3CDTF">2022-12-02T02:44:31Z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94D68A1A2BAA4D88B8E1D5E94F87C7FD</vt:lpwstr>
  </property>
</Properties>
</file>