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榆林城投集团推动国企改革落地见效</w:t>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begin"/>
      </w:r>
      <w:r>
        <w:rPr>
          <w:rFonts w:hint="default" w:ascii="宋体" w:hAnsi="宋体" w:eastAsiaTheme="minorEastAsia" w:cstheme="minorBidi"/>
          <w:b/>
          <w:snapToGrid w:val="0"/>
          <w:color w:val="FF0000"/>
          <w:kern w:val="0"/>
          <w:sz w:val="36"/>
          <w:szCs w:val="36"/>
          <w:shd w:val="clear" w:color="auto" w:fill="FFFFFF"/>
          <w:lang w:val="en-US" w:eastAsia="zh-CN" w:bidi="ar-SA"/>
        </w:rPr>
        <w:instrText xml:space="preserve"> HYPERLINK "https://www.163.com/dy/article/javascript:;" \t "https://www.163.com/dy/article/_self" </w:instrText>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separate"/>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end"/>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begin"/>
      </w:r>
      <w:r>
        <w:rPr>
          <w:rFonts w:hint="default" w:ascii="宋体" w:hAnsi="宋体" w:eastAsiaTheme="minorEastAsia" w:cstheme="minorBidi"/>
          <w:b/>
          <w:snapToGrid w:val="0"/>
          <w:color w:val="FF0000"/>
          <w:kern w:val="0"/>
          <w:sz w:val="36"/>
          <w:szCs w:val="36"/>
          <w:shd w:val="clear" w:color="auto" w:fill="FFFFFF"/>
          <w:lang w:val="en-US" w:eastAsia="zh-CN" w:bidi="ar-SA"/>
        </w:rPr>
        <w:instrText xml:space="preserve"> HYPERLINK "https://www.163.com/dy/article/javascript:;" \t "https://www.163.com/dy/article/_self" </w:instrText>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separate"/>
      </w:r>
      <w:r>
        <w:rPr>
          <w:rFonts w:hint="default" w:ascii="宋体" w:hAnsi="宋体" w:eastAsiaTheme="minorEastAsia" w:cstheme="minorBidi"/>
          <w:b/>
          <w:snapToGrid w:val="0"/>
          <w:color w:val="FF0000"/>
          <w:kern w:val="0"/>
          <w:sz w:val="36"/>
          <w:szCs w:val="36"/>
          <w:shd w:val="clear" w:color="auto" w:fill="FFFFFF"/>
          <w:lang w:val="en-US" w:eastAsia="zh-CN" w:bidi="ar-SA"/>
        </w:rPr>
        <w:fldChar w:fldCharType="end"/>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来源：榆林城投集团 </w:t>
      </w:r>
    </w:p>
    <w:p>
      <w:pPr>
        <w:pStyle w:val="15"/>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年来，榆林城投集团积极推进国企改革三年行动各项任务落实落地，取得明显成效。2021年城投集团完成投资14亿元，实现收入83亿元，同比增长55%；净利润达5330万元，同比增长28%，经营业绩大幅提升，实现“十四五”良好开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治理结构更加完善：</w:t>
      </w:r>
      <w:r>
        <w:rPr>
          <w:rFonts w:hint="eastAsia" w:ascii="宋体" w:hAnsi="宋体" w:eastAsia="宋体" w:cs="宋体"/>
          <w:snapToGrid w:val="0"/>
          <w:color w:val="000000"/>
          <w:kern w:val="0"/>
          <w:sz w:val="24"/>
          <w:szCs w:val="24"/>
          <w:lang w:val="en-US" w:eastAsia="zh-CN" w:bidi="ar-SA"/>
        </w:rPr>
        <w:t>在国企改革三年行动中，榆林城投集团深入贯彻“两个一以贯之”，全面推进党的领导全面嵌入公司治理，所属企业全部实现党建进章程，制定党委研究决定、前置研究讨论事项清单，落实“三重一大”决策制度，出台董事会、总经理办公会议事规则，厘清党组织和董事会、经理层权责边界。严格落实党风廉政建设主体责任、纪委监督责任和领导干部“一岗双责”，细化日常监督清单，扎实开展专项治理工作，建立巡视巡察反馈问题整改落实机制。狠抓各项制度落实，强化督导考核和后评估机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通过现代企业管理制度建设，促进了集团整体工作全面提升，员工整体素养明显提高，党员干部“政治三力”不断增强，“两个确立”更加坚定、“两个维护”更加坚决。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经营机制更加健全：</w:t>
      </w:r>
      <w:r>
        <w:rPr>
          <w:rFonts w:hint="eastAsia" w:ascii="宋体" w:hAnsi="宋体" w:eastAsia="宋体" w:cs="宋体"/>
          <w:snapToGrid w:val="0"/>
          <w:color w:val="000000"/>
          <w:kern w:val="0"/>
          <w:sz w:val="24"/>
          <w:szCs w:val="24"/>
          <w:lang w:val="en-US" w:eastAsia="zh-CN" w:bidi="ar-SA"/>
        </w:rPr>
        <w:t>坚持目标导向，紧盯年度生产经营目标，层层分解落实减亏增盈任务，持续推进减亏增效三年行动。修订出台党建工作、企业经营管理、安全生产、廉洁防控、绩效考核等共26项制度，规范决策程序，优化管理流程，提升管理水平。对中央、省委、市委重大决策部署以及公司经营管理各项重点工作建立台账，全程跟踪问效，逐一销号，有效解决了行百里者半九十的落实难问题，不折不扣把国企改革决策部署落到实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结构布局更加优化：</w:t>
      </w:r>
      <w:r>
        <w:rPr>
          <w:rFonts w:hint="eastAsia" w:ascii="宋体" w:hAnsi="宋体" w:eastAsia="宋体" w:cs="宋体"/>
          <w:snapToGrid w:val="0"/>
          <w:color w:val="000000"/>
          <w:kern w:val="0"/>
          <w:sz w:val="24"/>
          <w:szCs w:val="24"/>
          <w:lang w:val="en-US" w:eastAsia="zh-CN" w:bidi="ar-SA"/>
        </w:rPr>
        <w:t>2021年初城投集团新班子到位后，坚持问题导向，聚焦企业功能定位和业务布局，直面当前转型升级中的困难挑战，全面开展同质化整合工作，对68户权属企业进行全面调研梳理，通过压减管理层级，清理撤销扭亏无望企业，进一步合并归类优化现有业务板块，加快剥离低效无效资产，推进瘦身健体。</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按照市委市政府对城投集团新的功能定位，即集中优势资源，做强做优“产业融资平台、城市基础设施建设、城市更新、房地产、新能源”五大主责主业，为城投集团转型升级高质量发展指明了方向。目前已初步形成了以城市基础设施投资建设运营服务为核心业务，以做优做强融资平台和新能源投资开发为双轮驱动的“一核双驱多元发展”业务新布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党建经营深度融合：</w:t>
      </w:r>
      <w:r>
        <w:rPr>
          <w:rFonts w:hint="eastAsia" w:ascii="宋体" w:hAnsi="宋体" w:eastAsia="宋体" w:cs="宋体"/>
          <w:snapToGrid w:val="0"/>
          <w:color w:val="000000"/>
          <w:kern w:val="0"/>
          <w:sz w:val="24"/>
          <w:szCs w:val="24"/>
          <w:lang w:val="en-US" w:eastAsia="zh-CN" w:bidi="ar-SA"/>
        </w:rPr>
        <w:t>以高质量党建引领企业高质量发展，着力推进“1345”党建体系建设，即以党的政治建设为统领，实施党委核心工程、支部堡垒工程、党员表率工程，强化党的领导与公司治理深度融合、党建工作与生产经营深度融合、党建文化与企业文化深度融合、党内监督与廉洁从业深度融合，实现党建工作体系化、党建品牌显性化、党建管理智慧化、党建考核绩效化、融合融通长效化，以党建促经营，以经营强党建，着力把党的政治优势、组织优势、群众工作优势，转化为企业的创新优势、发展优势、竞争优势，为城投集团做强做优做大提供坚强政治和组织保证。</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国企改革三年行动中，城投集团根据生产经营实际，新成立9个党支部和1个项目临时党支部，坚持生产经营业务开展到哪里，党建工作就跟进到哪里，大力实施“党建+”工程，扎实推进党支部标准化、规范化建设，深化党员三类五星管理和争先创优活动，推动党建与业务同频共振，相融互促，充分发挥党支部战斗堡垒作用和党员发挥先锋模范作用，以生产经营成效检验党建工作成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下一步，榆林城投集团将以更高的要求、更强的担当、更大的作为，围绕“一核双驱多元发展”的产业布局，深入实施“十四五”规划，打好国企改革三年行动收官战，全力打造“集融资、投资、建设、开发、运营、管理于一体”的市场化综合性国有资本投资运营集团，实现质量更高、效益更好、结构更优的发展目标，奋力谱写新时代高质量发展新篇。</w:t>
      </w:r>
    </w:p>
    <w:p>
      <w:pPr>
        <w:pStyle w:val="13"/>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争创一流，让城市生活更美好——整合重组一周年，吴江城投集团按下转型发展“快进键”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来源：新华网</w:t>
      </w:r>
      <w:bookmarkStart w:id="0" w:name="_GoBack"/>
      <w:bookmarkEnd w:id="0"/>
    </w:p>
    <w:p>
      <w:pPr>
        <w:pStyle w:val="12"/>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苏州市吴江城市投资发展集团有限公司（以下简称“吴江城投集团”）成立于2002年。2020年9月原城投公司、滨投公司、智慧城市公司、市政集团部分业务进行整合重组，正式更名为苏州市吴江城市投资发展集团有限公司。整合重组后，吴江城投集团以提升城市能级和城市品质为使命，充分发挥城市投资、建设、经营、管理、服务等职能，打造吴江城投集团成为集城市基础建设、城市公共服务、城市资源整合及城市产业驱动于一体的大型、多元化、一流的城市综合运营服务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吴江城投集团坚持党群建设和业务发展双向融合，充分发挥党群建设工作示范引领和凝心聚力作用。重组后，集团顺应新的发展趋势，发挥投资、建设、运营、管理的一体化平台作用，抢抓长三角一体化示范区发展机遇，主动谋划、积极服务吴江城市建设，助推一系列国家区域重大战略的实施，奋力改革创新。至整合重组后的首个“周年”之日，集团资产规模效应不断凸显，产业布局愈发清晰，市场化投融资能力持续提升，政企关系更加顺畅，现代化企业治理体系逐渐完善，朝着打造一流企业的目标阔步迈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打造文化IP，提升文化生活品质</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吴江城投集团与国内知名传媒娱乐产业集团——华人文化集团公司强强联手，在合资成立苏州湾剧院管理公司的基础上，携手组建了一支专业化的运营团队，通过兼顾社会效益和市场效益，推动剧院发展与城市文化共生共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借助华人文化集团的行业资源，在开门迎客的近10个月内，苏州湾大剧院突出苏州“首演”概念，引进了一大批国内外品质优且市场欢迎度高的演出，成功举办首届苏州湾戏剧节，累计观演人数超5万人次，平均上座率超过60%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待苏州湾影城、苏州湾会展中心、吴江博物馆、苏州湾艺术馆等项目陆续建成投用之后，集团将全力依托苏州湾文化中心，把“苏州湾”打造成为一个文化IP，使苏州湾文化中心成为引领长三角文艺潮流的新地标，让苏州湾成为各类文化艺术汇聚的新高地。</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完善城市配套，创新商业运营模式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打造差异化、多元化的消费场景，引入了砂之船（苏州湾）超级奥莱，以奥莱商场为经营主体，通过“名品+折扣”的商业销售模式拉升苏州湾板块人气，吸引高端旅游消费人群，带动辐射上下游产业共荣发展。提升购物体验便捷化，筹建新的社区商业项目——锦和缤纷荟，汲取已开业的联杨缤纷荟、流虹缤纷荟等项目运营经验，因地制宜解决城南商业配套稀缺问题，在招商规划上融合社区配套、艺术培训、便民服务等多样业态于一体，建设社区型购物中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吴江城投集团秉持做增量的理念打造苏州湾商圈业态，补充差异化的消费场景，和吴江老城区的社区商圈互为补充，塑造满足居民各类消费需求的多元化商业生态。积极对接和招引国内外优质商业资源，推动苏州湾消费购物体验与国际接轨、向大城市看齐，逐步实现消费人群从“外流出去”到“虹吸进来”的转变。并优化消费环境，提升消费档次，将服务民生的理念渗透到商业运营的方方面面。</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推动智慧建设，创造多元智慧场景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积极主动开辟智慧城市业务，利用智慧化、精细化管理优化创新发展模式，上线运营了“乐泊车联”系统，停车场存量资源得到智能化管理，有效缓解“停车难”的矛盾问题。平台自2019年12月9日上线以来，截止2021年9月底，共计完成接入停车场数量为172个，泊位数27363个。其中自主运营停车场131个，泊位数20326个；数据接入停车场41个，泊位数7037个，平均周转率2021年较2020年同期提高了39%，帮助吴江减少了交通拥堵和无效交通流。</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参与了涉及智慧民生服务领域的智慧教育项目、智慧社区项目，涉及社会综合治理领域的吴江区感知解析中心项目、盛泽镇市容市貌管理项目、静态交通综合治理平台项目、吴江开发区智慧城市应用项目等一批智慧城市建设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吴江城投集团充分发挥自身的国企背景优势，将携手行业头部企业、高校，参与更多智慧政务建设，为城市创造更多更优的智慧场景，比如启动“城市体检”项目、智能管理既有建筑等，攻破城市管理的痛点、难点，保障城市安全有序运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提升城市品质，打造生态宜居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着力提升吴江城市品质，吴江城投集团通过规划和改造，将昔日的农田村舍打造成特色景点丰富的万公堤·时光森林，项目已入选江苏省美丽宜居城市建设第二批试点名单。精心雕琢东太湖生态园、苏州湾体育公园、胜地生态公园的一年四季自然景观，彰显吴江的生态宜居之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提升城市品质，既要做大增量，也要做优存量，找准“守旧”与“更新”之间的平衡点。联合华润置地启动盛家厍城市更新项目，共同探索新时代商业老街开发的创新模式，使盛家厍集商业、艺术、自然于一体，既保留原来的城市肌理，又与现有商业保持联动，在修旧如旧、新旧融合中唤起沉淀的老吴江文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吴江城投集团始终以“创城市新生，筑乐居典范”为愿景，通过吴江太湖新城北片区综合管廊项目、芦荡湖公园东侧地块定销房一期项目、云梨桥畔城市更新项目等一个个项目深入参与城市功能和品质提升建设，以“如何为老百姓提供更便利的服务”为出发点，不断地填补空白和短板，让百姓拥有更多幸福感、获得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重视规划引领，绘就壮美发展蓝图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立足新的起点，迈上新的征程，开创新的辉煌。“十四五”开端之年，吴江城投集团重视规划引领，携手现代咨询共同谋划未来发展，紧密围绕区委区政府的战略部署，立足于服从服务吴江城市发展，以“十大重点工程”为抓手，不断深化内部体制机制改革创新，专注城市建设、城市运营、城市更新、资产管理运营四大业务板块的深耕发展，推进土地整理开发、市政设施建设、智慧城市运营、城市有机更新运行、商住开发运营五大主业协调发展，至2023年末，力争实现资产规模超千亿，累计投资额突破100亿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6</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73053B"/>
    <w:rsid w:val="37B874E3"/>
    <w:rsid w:val="387E2BC0"/>
    <w:rsid w:val="3AD010DD"/>
    <w:rsid w:val="3CEB33CD"/>
    <w:rsid w:val="42D84824"/>
    <w:rsid w:val="43215475"/>
    <w:rsid w:val="441A3D4C"/>
    <w:rsid w:val="44FD6564"/>
    <w:rsid w:val="467D421D"/>
    <w:rsid w:val="480B25EE"/>
    <w:rsid w:val="4890330D"/>
    <w:rsid w:val="48D21008"/>
    <w:rsid w:val="4CEB02D2"/>
    <w:rsid w:val="4D227684"/>
    <w:rsid w:val="4D392193"/>
    <w:rsid w:val="53410626"/>
    <w:rsid w:val="53730655"/>
    <w:rsid w:val="55B1257D"/>
    <w:rsid w:val="55C004D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4ED1E7C"/>
    <w:rsid w:val="767203B6"/>
    <w:rsid w:val="77436B61"/>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样式4"/>
    <w:basedOn w:val="3"/>
    <w:next w:val="3"/>
    <w:qFormat/>
    <w:uiPriority w:val="0"/>
    <w:pPr>
      <w:spacing w:line="500" w:lineRule="exact"/>
      <w:ind w:firstLine="200" w:firstLineChars="200"/>
    </w:pPr>
    <w:rPr>
      <w:rFonts w:cs="Courier New"/>
      <w:b/>
      <w:color w:val="FF0000"/>
      <w:spacing w:val="-6"/>
      <w:kern w:val="0"/>
      <w:sz w:val="30"/>
      <w:szCs w:val="30"/>
    </w:rPr>
  </w:style>
  <w:style w:type="paragraph" w:styleId="3">
    <w:name w:val="Plain Text"/>
    <w:basedOn w:val="1"/>
    <w:uiPriority w:val="0"/>
    <w:rPr>
      <w:rFonts w:ascii="宋体" w:hAnsi="Courier New" w:cs="Courier New"/>
      <w:szCs w:val="21"/>
    </w:r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Body Text Indent"/>
    <w:basedOn w:val="1"/>
    <w:qFormat/>
    <w:uiPriority w:val="0"/>
    <w:pPr>
      <w:ind w:left="420" w:leftChars="200"/>
    </w:pPr>
    <w:rPr>
      <w:kern w:val="2"/>
      <w:sz w:val="21"/>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9"/>
    <w:next w:val="1"/>
    <w:qFormat/>
    <w:uiPriority w:val="0"/>
    <w:pPr>
      <w:widowControl w:val="0"/>
      <w:ind w:firstLine="420"/>
      <w:jc w:val="both"/>
    </w:pPr>
    <w:rPr>
      <w:kern w:val="2"/>
      <w:sz w:val="21"/>
      <w:szCs w:val="24"/>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character" w:customStyle="1" w:styleId="25">
    <w:name w:val="bds_more"/>
    <w:basedOn w:val="17"/>
    <w:qFormat/>
    <w:uiPriority w:val="0"/>
  </w:style>
  <w:style w:type="character" w:customStyle="1" w:styleId="26">
    <w:name w:val="bds_nopic"/>
    <w:basedOn w:val="17"/>
    <w:qFormat/>
    <w:uiPriority w:val="0"/>
  </w:style>
  <w:style w:type="character" w:customStyle="1" w:styleId="27">
    <w:name w:val="bds_nopic1"/>
    <w:basedOn w:val="17"/>
    <w:qFormat/>
    <w:uiPriority w:val="0"/>
  </w:style>
  <w:style w:type="character" w:customStyle="1" w:styleId="28">
    <w:name w:val="bds_nopic2"/>
    <w:basedOn w:val="17"/>
    <w:qFormat/>
    <w:uiPriority w:val="0"/>
  </w:style>
  <w:style w:type="character" w:customStyle="1" w:styleId="29">
    <w:name w:val="current"/>
    <w:basedOn w:val="17"/>
    <w:qFormat/>
    <w:uiPriority w:val="0"/>
    <w:rPr>
      <w:b/>
      <w:color w:val="666666"/>
      <w:bdr w:val="single" w:color="E0E0E0" w:sz="6" w:space="0"/>
      <w:shd w:val="clear" w:fill="F0F0F0"/>
    </w:rPr>
  </w:style>
  <w:style w:type="character" w:customStyle="1" w:styleId="30">
    <w:name w:val="disabled"/>
    <w:basedOn w:val="17"/>
    <w:qFormat/>
    <w:uiPriority w:val="0"/>
    <w:rPr>
      <w:color w:val="CCCCCC"/>
      <w:bdr w:val="single" w:color="DBDADA" w:sz="6" w:space="0"/>
    </w:rPr>
  </w:style>
  <w:style w:type="character" w:customStyle="1" w:styleId="31">
    <w:name w:val="tab_active"/>
    <w:basedOn w:val="17"/>
    <w:qFormat/>
    <w:uiPriority w:val="0"/>
    <w:rPr>
      <w:color w:val="666666"/>
    </w:rPr>
  </w:style>
  <w:style w:type="character" w:customStyle="1" w:styleId="32">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2022-07-27T07:59:37Z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