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center"/>
        <w:textAlignment w:val="auto"/>
        <w:rPr>
          <w:rFonts w:hint="default" w:ascii="宋体" w:hAnsi="宋体" w:eastAsiaTheme="minorEastAsia" w:cstheme="minorBidi"/>
          <w:b/>
          <w:snapToGrid w:val="0"/>
          <w:color w:val="FF0000"/>
          <w:kern w:val="0"/>
          <w:sz w:val="36"/>
          <w:szCs w:val="36"/>
          <w:shd w:val="clear" w:color="auto" w:fill="FFFFFF"/>
          <w:lang w:val="en-US" w:eastAsia="zh-CN" w:bidi="ar-SA"/>
        </w:rPr>
      </w:pPr>
      <w:r>
        <w:rPr>
          <w:rFonts w:hint="default" w:ascii="宋体" w:hAnsi="宋体" w:eastAsiaTheme="minorEastAsia" w:cstheme="minorBidi"/>
          <w:b/>
          <w:snapToGrid w:val="0"/>
          <w:color w:val="FF0000"/>
          <w:kern w:val="0"/>
          <w:sz w:val="36"/>
          <w:szCs w:val="36"/>
          <w:shd w:val="clear" w:color="auto" w:fill="FFFFFF"/>
          <w:lang w:val="en-US" w:eastAsia="zh-CN" w:bidi="ar-SA"/>
        </w:rPr>
        <w:t>潍坊市城投集团转型发展经验入选“全国国企管理创新成果”</w:t>
      </w:r>
    </w:p>
    <w:p>
      <w:pPr>
        <w:keepNext w:val="0"/>
        <w:keepLines w:val="0"/>
        <w:pageBreakBefore w:val="0"/>
        <w:widowControl w:val="0"/>
        <w:tabs>
          <w:tab w:val="left" w:pos="4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2"/>
        <w:jc w:val="center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  <w:t>来源：</w:t>
      </w:r>
      <w:r>
        <w:rPr>
          <w:rFonts w:hint="default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  <w:fldChar w:fldCharType="begin"/>
      </w:r>
      <w:r>
        <w:rPr>
          <w:rFonts w:hint="default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  <w:instrText xml:space="preserve"> HYPERLINK "https://www.163.com/dy/media/T1526373341687.html" </w:instrText>
      </w:r>
      <w:r>
        <w:rPr>
          <w:rFonts w:hint="default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  <w:fldChar w:fldCharType="separate"/>
      </w:r>
      <w:r>
        <w:rPr>
          <w:rFonts w:hint="default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  <w:t>大众日报</w:t>
      </w:r>
      <w:r>
        <w:rPr>
          <w:rFonts w:hint="default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  <w:fldChar w:fldCharType="end"/>
      </w:r>
      <w:r>
        <w:rPr>
          <w:rFonts w:hint="default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  <w:t>  </w:t>
      </w:r>
    </w:p>
    <w:p>
      <w:pPr>
        <w:pStyle w:val="13"/>
        <w:rPr>
          <w:rFonts w:hint="eastAsia"/>
          <w:lang w:val="en-US" w:eastAsia="zh-CN"/>
        </w:rPr>
      </w:pPr>
      <w:r>
        <w:rPr>
          <w:rFonts w:hint="eastAsia" w:ascii="宋体" w:hAnsi="宋体"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148590</wp:posOffset>
                </wp:positionV>
                <wp:extent cx="5511165" cy="4445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165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6.5pt;margin-top:11.7pt;height:0.35pt;width:433.95pt;z-index:251659264;mso-width-relative:page;mso-height-relative:page;" filled="f" stroked="t" coordsize="21600,21600" o:gfxdata="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D/BkrjYAAAACQEAAA8AAAAAAAAAAQAgAAAAIgAA&#10;AGRycy9kb3ducmV2LnhtbFBLAQIUABQAAAAIAIdO4kBRh1uwzwEAAJADAAAOAAAAAAAAAAEAIAAA&#10;ACc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right="0" w:rightChars="0" w:firstLine="480" w:firstLineChars="200"/>
        <w:textAlignment w:val="auto"/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近日，潍坊市城投集团《政府投融资平台公司市场化转型发展实践》课题，在中国企业管理研究会、中国财政学会国有资产研究专业委员会、《国企管理》杂志等联合主办的“2021（第七届）全国国企管理创新成果”评选活动中，经过专家组初审、现场论证答辩、复核调研、公示投票等环节层层筛选，从中央企业、地方国企、研究机构和大专院校申报的4300多项参选成果中脱颖而出，成功入选。本次活动全国共有173项成果入选，全省有山东省港口集团的《港口集团业务一体化改革实践》等8项入选，潍坊市仅此1项入选。活动旨在全国范围内寻找树立国企管理样本，形成推广一批具有时代特色、可复制、可推广、高质量的课题成果，为建立中国特色现代国有企业制度提供案例支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right="0" w:rightChars="0" w:firstLine="480" w:firstLineChars="200"/>
        <w:textAlignment w:val="auto"/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近年来，潍坊市城投集团在潍坊市委、市政府的坚强领导下，认真贯彻落实中央和省、市关于深化国资国企改革的系列部署要求，坚持“担当实干、创新引领”理念，保持战略定力，聚焦主责主业，勇当新时代国企改革发展的探路者、示范者，坚定不移走转型发展之路，在加快建设“全国一流城市综合运营服务商”的道路上不断取得新突破，办成了许多打基础、利长远的实事、大事，形成了“以投资兴产业、以产业促发展、以发展扩大再投资”的政府融资平台公司转型发展的“潍坊城投模式”，相关经验做法被新华社、大众日报、山东电视台等多家主流媒体宣传报道。此次入选2021（第七届）国企管理创新成果（案例），充分体现了社会各界对市城投集团近年来持续深化改革创新、加速市场化转型发展成果的肯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right="0" w:rightChars="0" w:firstLine="480" w:firstLineChars="200"/>
        <w:textAlignment w:val="auto"/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下步，潍坊市城投集团将统筹推进以产业投资为主导、以项目建设和公共服务为两翼的“一体两翼”战略布局，坚定不移沿着“以投资兴产业、以产业促发展、以发展扩大再投资”的转型发展之路阔步前进，在产业投资上再有新突破，在资本市场上实现新作为，坚决打赢提质增效攻坚战，顺利实现转型发展，努力建成“全国一流城市综合运营服务商”，为潍坊市实现“一二三”发展目标贡献新的更大的“城投力量”。</w:t>
      </w:r>
    </w:p>
    <w:p>
      <w:pPr>
        <w:pStyle w:val="2"/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rPr>
          <w:rFonts w:hint="eastAsia" w:ascii="宋体" w:hAnsi="宋体" w:eastAsiaTheme="minorEastAsia" w:cstheme="minorBidi"/>
          <w:b/>
          <w:snapToGrid w:val="0"/>
          <w:color w:val="FF0000"/>
          <w:kern w:val="0"/>
          <w:sz w:val="36"/>
          <w:szCs w:val="36"/>
          <w:shd w:val="clear" w:color="auto" w:fill="FFFFFF"/>
          <w:lang w:val="en-US" w:eastAsia="zh-CN" w:bidi="ar-SA"/>
        </w:rPr>
      </w:pPr>
      <w:r>
        <w:rPr>
          <w:rFonts w:hint="eastAsia" w:ascii="宋体" w:hAnsi="宋体" w:eastAsiaTheme="minorEastAsia" w:cstheme="minorBidi"/>
          <w:b/>
          <w:snapToGrid w:val="0"/>
          <w:color w:val="FF0000"/>
          <w:kern w:val="0"/>
          <w:sz w:val="36"/>
          <w:szCs w:val="36"/>
          <w:shd w:val="clear" w:color="auto" w:fill="FFFFFF"/>
          <w:lang w:val="en-US" w:eastAsia="zh-CN" w:bidi="ar-SA"/>
        </w:rPr>
        <w:t>洛阳城投12.66亿元连获洛阳伊滨区3宗商住地块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宋体" w:hAnsi="宋体" w:eastAsiaTheme="minorEastAsia" w:cstheme="minorBidi"/>
          <w:b/>
          <w:snapToGrid w:val="0"/>
          <w:color w:val="FF0000"/>
          <w:kern w:val="0"/>
          <w:sz w:val="21"/>
          <w:szCs w:val="21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4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2"/>
        <w:jc w:val="center"/>
        <w:textAlignment w:val="auto"/>
        <w:outlineLvl w:val="9"/>
        <w:rPr>
          <w:rFonts w:hint="default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default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  <w:t>来源：观点网</w:t>
      </w:r>
    </w:p>
    <w:p>
      <w:pPr>
        <w:pStyle w:val="11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 w:ascii="宋体" w:hAnsi="宋体"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60960</wp:posOffset>
                </wp:positionV>
                <wp:extent cx="5511165" cy="4445"/>
                <wp:effectExtent l="0" t="0" r="0" b="0"/>
                <wp:wrapNone/>
                <wp:docPr id="4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165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6.5pt;margin-top:4.8pt;height:0.35pt;width:433.95pt;z-index:251659264;mso-width-relative:page;mso-height-relative:page;" filled="f" stroked="t" coordsize="21600,21600" o:gfxdata="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rCzZgNcAAAAIAQAADwAAAAAAAAABACAAAAAiAAAA&#10;ZHJzL2Rvd25yZXYueG1sUEsBAhQAFAAAAAgAh07iQNlIxZXPAQAAkAMAAA4AAAAAAAAAAQAgAAAA&#10;Jg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4月22日，洛阳城投住房租赁发展有限公司（以下简称“洛阳城投”）以底价5.92亿元获LYTD-2022-12地块，此地块已经是该公司当日在洛阳市伊滨区摘得第三宗商住地。截止目前，该公司已使用12.66</w:t>
      </w:r>
      <w:bookmarkStart w:id="0" w:name="_GoBack"/>
      <w:bookmarkEnd w:id="0"/>
      <w:r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亿元获得14.14万㎡商住用地，地块均位于伊滨区。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据了解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，LYTD-2022-12地块位于伊滨区孝文大道与新源路西南角，出让面积为6.26万㎡，容积率≤2.5，该地块北面为已交付小区，紧邻开元大道、彤辉广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场，生活配套齐全。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22日早些时间，洛阳城投先以底价3.47亿获得位于洛阳伊滨区孝文大道与玉林路西南角的LYTD-2022-10地块，该地块为商住地，出让面积4.07万㎡。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再以底价3.25亿获位于洛阳市伊滨区方楼街与玉林路东南角的LYTD-2022-11地块，这是该公司今天在洛阳市伊滨区拿到的第二个地块。该地块容积率≤2.5，地块面积为3.81万㎡，地上土地用途为居住兼容商业，地下则为停车场、人防设施。出让年限为住宅70年；商业40年；停车场、人防用地50年。</w:t>
      </w:r>
    </w:p>
    <w:p>
      <w:pPr>
        <w:keepNext w:val="0"/>
        <w:keepLines w:val="0"/>
        <w:pageBreakBefore w:val="0"/>
        <w:widowControl w:val="0"/>
        <w:tabs>
          <w:tab w:val="left" w:pos="4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2"/>
        <w:jc w:val="right"/>
        <w:textAlignment w:val="auto"/>
        <w:outlineLvl w:val="9"/>
        <w:rPr>
          <w:rFonts w:hint="eastAsia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  <w:t>海口市城市建设投资有限公司</w:t>
      </w:r>
    </w:p>
    <w:p>
      <w:pPr>
        <w:keepNext w:val="0"/>
        <w:keepLines w:val="0"/>
        <w:pageBreakBefore w:val="0"/>
        <w:widowControl w:val="0"/>
        <w:tabs>
          <w:tab w:val="left" w:pos="4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2"/>
        <w:jc w:val="right"/>
        <w:textAlignment w:val="auto"/>
        <w:outlineLvl w:val="9"/>
        <w:rPr>
          <w:rFonts w:hint="eastAsia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2022</w:t>
      </w:r>
      <w:r>
        <w:rPr>
          <w:rFonts w:hint="eastAsia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  <w:t>年</w:t>
      </w:r>
      <w:r>
        <w:rPr>
          <w:rFonts w:hint="eastAsia" w:ascii="宋体" w:hAnsi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4</w:t>
      </w:r>
      <w:r>
        <w:rPr>
          <w:rFonts w:hint="eastAsia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  <w:t>月</w:t>
      </w:r>
      <w:r>
        <w:rPr>
          <w:rFonts w:hint="eastAsia" w:ascii="宋体" w:hAnsi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30</w:t>
      </w:r>
      <w:r>
        <w:rPr>
          <w:rFonts w:hint="eastAsia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711B6"/>
    <w:rsid w:val="01B34423"/>
    <w:rsid w:val="02E9239D"/>
    <w:rsid w:val="03802FAA"/>
    <w:rsid w:val="05605221"/>
    <w:rsid w:val="07183EFD"/>
    <w:rsid w:val="0B49215B"/>
    <w:rsid w:val="0C1510B5"/>
    <w:rsid w:val="0C323478"/>
    <w:rsid w:val="0C8B726C"/>
    <w:rsid w:val="0CCF11AA"/>
    <w:rsid w:val="0E3837D3"/>
    <w:rsid w:val="106814C6"/>
    <w:rsid w:val="11242915"/>
    <w:rsid w:val="11B2016B"/>
    <w:rsid w:val="11B25936"/>
    <w:rsid w:val="11C26D1D"/>
    <w:rsid w:val="135711B6"/>
    <w:rsid w:val="150220D3"/>
    <w:rsid w:val="17E65176"/>
    <w:rsid w:val="1A864608"/>
    <w:rsid w:val="1C077BB4"/>
    <w:rsid w:val="1D644D34"/>
    <w:rsid w:val="1D9F067F"/>
    <w:rsid w:val="1E8C2F5B"/>
    <w:rsid w:val="1FA10BF3"/>
    <w:rsid w:val="21AF5AE2"/>
    <w:rsid w:val="21D167FF"/>
    <w:rsid w:val="21E343D1"/>
    <w:rsid w:val="221678A0"/>
    <w:rsid w:val="22593A46"/>
    <w:rsid w:val="24093C83"/>
    <w:rsid w:val="25140E91"/>
    <w:rsid w:val="2661183B"/>
    <w:rsid w:val="26D66E8E"/>
    <w:rsid w:val="286859B9"/>
    <w:rsid w:val="298433C2"/>
    <w:rsid w:val="29894E55"/>
    <w:rsid w:val="2B4E6124"/>
    <w:rsid w:val="2BC96687"/>
    <w:rsid w:val="2CC17CB9"/>
    <w:rsid w:val="2DBD30F1"/>
    <w:rsid w:val="2DCF4E54"/>
    <w:rsid w:val="2DFB280F"/>
    <w:rsid w:val="2ECA5F7D"/>
    <w:rsid w:val="2F1D4CC3"/>
    <w:rsid w:val="30253624"/>
    <w:rsid w:val="32E50573"/>
    <w:rsid w:val="351D0E15"/>
    <w:rsid w:val="364879E2"/>
    <w:rsid w:val="3773053B"/>
    <w:rsid w:val="37B874E3"/>
    <w:rsid w:val="387E2BC0"/>
    <w:rsid w:val="3AD010DD"/>
    <w:rsid w:val="3CEB33CD"/>
    <w:rsid w:val="42D84824"/>
    <w:rsid w:val="43215475"/>
    <w:rsid w:val="441A3D4C"/>
    <w:rsid w:val="44FD6564"/>
    <w:rsid w:val="467D421D"/>
    <w:rsid w:val="480B25EE"/>
    <w:rsid w:val="4890330D"/>
    <w:rsid w:val="48D21008"/>
    <w:rsid w:val="4CEB02D2"/>
    <w:rsid w:val="4D227684"/>
    <w:rsid w:val="4D392193"/>
    <w:rsid w:val="53410626"/>
    <w:rsid w:val="53730655"/>
    <w:rsid w:val="55B1257D"/>
    <w:rsid w:val="55C004DD"/>
    <w:rsid w:val="5A30331E"/>
    <w:rsid w:val="5B951F4C"/>
    <w:rsid w:val="5E0D378B"/>
    <w:rsid w:val="5EBB0E8D"/>
    <w:rsid w:val="5F1E5AC5"/>
    <w:rsid w:val="602C7E0F"/>
    <w:rsid w:val="60C01E77"/>
    <w:rsid w:val="61140174"/>
    <w:rsid w:val="64CF6463"/>
    <w:rsid w:val="678E1AC9"/>
    <w:rsid w:val="6CE1567F"/>
    <w:rsid w:val="6D3D22B1"/>
    <w:rsid w:val="6D84762F"/>
    <w:rsid w:val="70594F33"/>
    <w:rsid w:val="713016CA"/>
    <w:rsid w:val="72662AEE"/>
    <w:rsid w:val="72C82FFA"/>
    <w:rsid w:val="7416122C"/>
    <w:rsid w:val="767203B6"/>
    <w:rsid w:val="782A0984"/>
    <w:rsid w:val="783E0425"/>
    <w:rsid w:val="78C228B5"/>
    <w:rsid w:val="7CE10643"/>
    <w:rsid w:val="7D917E57"/>
    <w:rsid w:val="7DDA2A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5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5">
    <w:name w:val="Normal Indent"/>
    <w:basedOn w:val="1"/>
    <w:next w:val="1"/>
    <w:qFormat/>
    <w:uiPriority w:val="0"/>
    <w:pPr>
      <w:ind w:firstLine="964" w:firstLineChars="200"/>
    </w:pPr>
    <w:rPr>
      <w:sz w:val="28"/>
    </w:rPr>
  </w:style>
  <w:style w:type="paragraph" w:styleId="6">
    <w:name w:val="Body Text"/>
    <w:basedOn w:val="1"/>
    <w:next w:val="7"/>
    <w:qFormat/>
    <w:uiPriority w:val="0"/>
    <w:pPr>
      <w:spacing w:before="240" w:beforeLines="0" w:after="60" w:afterLines="0"/>
      <w:ind w:firstLine="640" w:firstLineChars="200"/>
      <w:jc w:val="center"/>
      <w:outlineLvl w:val="0"/>
    </w:pPr>
    <w:rPr>
      <w:rFonts w:ascii="仿宋_GB2312" w:hAnsi="仿宋_GB2312" w:cs="仿宋_GB2312"/>
      <w:sz w:val="21"/>
      <w:szCs w:val="32"/>
    </w:rPr>
  </w:style>
  <w:style w:type="paragraph" w:styleId="7">
    <w:name w:val="Title"/>
    <w:basedOn w:val="1"/>
    <w:next w:val="1"/>
    <w:qFormat/>
    <w:uiPriority w:val="0"/>
    <w:pPr>
      <w:widowControl w:val="0"/>
      <w:spacing w:before="240" w:beforeLines="0" w:after="60" w:afterLines="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8">
    <w:name w:val="Body Text Indent"/>
    <w:basedOn w:val="1"/>
    <w:qFormat/>
    <w:uiPriority w:val="0"/>
    <w:pPr>
      <w:ind w:left="420" w:leftChars="200"/>
    </w:pPr>
    <w:rPr>
      <w:kern w:val="2"/>
      <w:sz w:val="21"/>
      <w:szCs w:val="24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11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3">
    <w:name w:val="Body Text First Indent 2"/>
    <w:basedOn w:val="8"/>
    <w:next w:val="1"/>
    <w:qFormat/>
    <w:uiPriority w:val="0"/>
    <w:pPr>
      <w:widowControl w:val="0"/>
      <w:ind w:firstLine="420"/>
      <w:jc w:val="both"/>
    </w:pPr>
    <w:rPr>
      <w:kern w:val="2"/>
      <w:sz w:val="21"/>
      <w:szCs w:val="24"/>
    </w:r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page number"/>
    <w:basedOn w:val="15"/>
    <w:qFormat/>
    <w:uiPriority w:val="0"/>
  </w:style>
  <w:style w:type="character" w:styleId="18">
    <w:name w:val="FollowedHyperlink"/>
    <w:basedOn w:val="15"/>
    <w:qFormat/>
    <w:uiPriority w:val="0"/>
    <w:rPr>
      <w:rFonts w:hint="eastAsia" w:ascii="宋体" w:hAnsi="宋体" w:eastAsia="宋体" w:cs="宋体"/>
      <w:color w:val="333333"/>
      <w:u w:val="none"/>
    </w:rPr>
  </w:style>
  <w:style w:type="character" w:styleId="19">
    <w:name w:val="Emphasis"/>
    <w:basedOn w:val="15"/>
    <w:qFormat/>
    <w:uiPriority w:val="0"/>
    <w:rPr>
      <w:i/>
    </w:rPr>
  </w:style>
  <w:style w:type="character" w:styleId="20">
    <w:name w:val="Hyperlink"/>
    <w:basedOn w:val="15"/>
    <w:qFormat/>
    <w:uiPriority w:val="0"/>
    <w:rPr>
      <w:rFonts w:hint="eastAsia" w:ascii="宋体" w:hAnsi="宋体" w:eastAsia="宋体" w:cs="宋体"/>
      <w:color w:val="333333"/>
      <w:u w:val="none"/>
    </w:rPr>
  </w:style>
  <w:style w:type="character" w:styleId="21">
    <w:name w:val="HTML Code"/>
    <w:basedOn w:val="15"/>
    <w:qFormat/>
    <w:uiPriority w:val="0"/>
    <w:rPr>
      <w:rFonts w:ascii="Courier New" w:hAnsi="Courier New"/>
      <w:sz w:val="20"/>
    </w:rPr>
  </w:style>
  <w:style w:type="character" w:styleId="22">
    <w:name w:val="HTML Cite"/>
    <w:basedOn w:val="15"/>
    <w:qFormat/>
    <w:uiPriority w:val="0"/>
    <w:rPr>
      <w:i/>
    </w:rPr>
  </w:style>
  <w:style w:type="character" w:customStyle="1" w:styleId="23">
    <w:name w:val="bds_more"/>
    <w:basedOn w:val="15"/>
    <w:qFormat/>
    <w:uiPriority w:val="0"/>
  </w:style>
  <w:style w:type="character" w:customStyle="1" w:styleId="24">
    <w:name w:val="bds_nopic"/>
    <w:basedOn w:val="15"/>
    <w:qFormat/>
    <w:uiPriority w:val="0"/>
  </w:style>
  <w:style w:type="character" w:customStyle="1" w:styleId="25">
    <w:name w:val="bds_nopic1"/>
    <w:basedOn w:val="15"/>
    <w:qFormat/>
    <w:uiPriority w:val="0"/>
  </w:style>
  <w:style w:type="character" w:customStyle="1" w:styleId="26">
    <w:name w:val="bds_nopic2"/>
    <w:basedOn w:val="15"/>
    <w:qFormat/>
    <w:uiPriority w:val="0"/>
  </w:style>
  <w:style w:type="character" w:customStyle="1" w:styleId="27">
    <w:name w:val="current"/>
    <w:basedOn w:val="15"/>
    <w:qFormat/>
    <w:uiPriority w:val="0"/>
    <w:rPr>
      <w:b/>
      <w:color w:val="666666"/>
      <w:bdr w:val="single" w:color="E0E0E0" w:sz="6" w:space="0"/>
      <w:shd w:val="clear" w:fill="F0F0F0"/>
    </w:rPr>
  </w:style>
  <w:style w:type="character" w:customStyle="1" w:styleId="28">
    <w:name w:val="disabled"/>
    <w:basedOn w:val="15"/>
    <w:qFormat/>
    <w:uiPriority w:val="0"/>
    <w:rPr>
      <w:color w:val="CCCCCC"/>
      <w:bdr w:val="single" w:color="DBDADA" w:sz="6" w:space="0"/>
    </w:rPr>
  </w:style>
  <w:style w:type="character" w:customStyle="1" w:styleId="29">
    <w:name w:val="tab_active"/>
    <w:basedOn w:val="15"/>
    <w:qFormat/>
    <w:uiPriority w:val="0"/>
    <w:rPr>
      <w:color w:val="666666"/>
    </w:rPr>
  </w:style>
  <w:style w:type="character" w:customStyle="1" w:styleId="30">
    <w:name w:val="current2"/>
    <w:basedOn w:val="15"/>
    <w:qFormat/>
    <w:uiPriority w:val="0"/>
    <w:rPr>
      <w:b/>
      <w:color w:val="666666"/>
      <w:bdr w:val="single" w:color="E0E0E0" w:sz="6" w:space="0"/>
      <w:shd w:val="clear" w:fill="F0F0F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2017-02-24T02:28:00Z</dcterms:created>
  <dc:creator>lenovo</dc:creator>
  <cp:lastModifiedBy>Administrator</cp:lastModifiedBy>
  <dcterms:modified xsi:type="dcterms:W3CDTF">2022-06-02T09:02:00Z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94D68A1A2BAA4D88B8E1D5E94F87C7FD</vt:lpwstr>
  </property>
</Properties>
</file>