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宋体" w:hAnsi="宋体" w:eastAsiaTheme="minorEastAsia" w:cstheme="minorBidi"/>
          <w:b/>
          <w:snapToGrid w:val="0"/>
          <w:color w:val="FF0000"/>
          <w:kern w:val="0"/>
          <w:sz w:val="36"/>
          <w:szCs w:val="36"/>
          <w:shd w:val="clear" w:color="auto" w:fill="FFFFFF"/>
          <w:lang w:val="en-US" w:eastAsia="zh-CN" w:bidi="ar-SA"/>
        </w:rPr>
      </w:pPr>
      <w:r>
        <w:rPr>
          <w:rFonts w:hint="default" w:ascii="宋体" w:hAnsi="宋体" w:eastAsiaTheme="minorEastAsia" w:cstheme="minorBidi"/>
          <w:b/>
          <w:snapToGrid w:val="0"/>
          <w:color w:val="FF0000"/>
          <w:kern w:val="0"/>
          <w:sz w:val="36"/>
          <w:szCs w:val="36"/>
          <w:shd w:val="clear" w:color="auto" w:fill="FFFFFF"/>
          <w:lang w:val="en-US" w:eastAsia="zh-CN" w:bidi="ar-SA"/>
        </w:rPr>
        <w:t>奉化城投6.82亿连摘两宗地块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2"/>
        <w:jc w:val="center"/>
        <w:textAlignment w:val="auto"/>
        <w:outlineLvl w:val="9"/>
        <w:rPr>
          <w:rFonts w:hint="default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default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  <w:t>来源：焦点财经讯</w:t>
      </w:r>
    </w:p>
    <w:p>
      <w:pPr>
        <w:pStyle w:val="12"/>
        <w:rPr>
          <w:rFonts w:hint="eastAsia"/>
          <w:lang w:val="en-US" w:eastAsia="zh-CN"/>
        </w:rPr>
      </w:pPr>
      <w:r>
        <w:rPr>
          <w:rFonts w:hint="eastAsia" w:ascii="宋体" w:hAnsi="宋体"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148590</wp:posOffset>
                </wp:positionV>
                <wp:extent cx="5511165" cy="4445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1165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6.5pt;margin-top:11.7pt;height:0.35pt;width:433.95pt;z-index:251659264;mso-width-relative:page;mso-height-relative:page;" filled="f" stroked="t" coordsize="21600,21600" o:gfxdata="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P8GS&#10;uNgAAAAJAQAADwAAAAAAAAABACAAAAAiAAAAZHJzL2Rvd25yZXYueG1sUEsBAhQAFAAAAAgAh07i&#10;QFerUgbpAQAA3gMAAA4AAAAAAAAAAQAgAAAAJw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right="0" w:rightChars="0" w:firstLine="480" w:firstLineChars="200"/>
        <w:textAlignment w:val="auto"/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11月3日，宁波第二轮集中供地进入首日出让。此次共推出46宗地块，总出让面积187.31万平方米，总建筑面积446.9万平方米，总起价381.4亿元。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right="0" w:rightChars="0" w:firstLine="480" w:firstLineChars="200"/>
        <w:textAlignment w:val="auto"/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其中，奉化区岳林街道大成路两侧地段I-07c地块（FH24-01-07c），由宁波市奉化区惠业建设有限公司（奉化城投）以4.82亿元竞得，楼面价7500元/㎡。该地块出让面积2.57万㎡，容积率2.5，建筑面积6.43万㎡，用途为住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right="0" w:rightChars="0" w:firstLine="480" w:firstLineChars="200"/>
        <w:textAlignment w:val="auto"/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资料显示，该地块东至天峰路绿化带，南、西至用地范围线，北至长汀东路绿化带。该地块实施“限房价、限地价、摇号”方式出让。该地块商品住宅毛坯销售均价不高于19250元/平方米，商品住宅毛坯最高销售单价不高于21175元/平方米；车位最高销售价格不高于13万元/个。该地块住宅应实行全装修交付，装修标准应当符合该项目预售许可时相关政策要求。该地块需建设租赁住房的计容建筑面积不小于12800平方米（不包括相应公共服务配套设施），建成后需整体持有，不得分割转让、不得分割抵押。租赁住房的开发、建设管理和运营须按国家和省、市租赁住房有关政策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right="0" w:rightChars="0" w:firstLine="480" w:firstLineChars="200"/>
        <w:textAlignment w:val="auto"/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奉化区锦屏街道原车管所地块（FH16-03-09e）由奉化城投竞得，成交价约2亿元，楼面价7200元/㎡。该地块出让面积11568㎡，容积率2.4，建筑面积2.78万㎡，用途为商住。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right="0" w:rightChars="0" w:firstLine="48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资料显示，该地块实施“限房价、限地价、摇号”方式出让。该地块商品住宅毛坯销售均价不高于18200元/平方米，商品住宅毛坯最高销售单价不高20020元/平方米；车位最高销售价格不高于12万元/个。该地块住宅应实行全装修交付，装修标准应当符合该项目预售许可时相关政策要求。地块的居住建筑计容面积不大于22200平方米（包括相应公共服务配套设施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宋体" w:hAnsi="宋体" w:eastAsiaTheme="minorEastAsia" w:cstheme="minorBidi"/>
          <w:b/>
          <w:snapToGrid w:val="0"/>
          <w:color w:val="FF0000"/>
          <w:kern w:val="0"/>
          <w:sz w:val="36"/>
          <w:szCs w:val="36"/>
          <w:shd w:val="clear" w:color="auto" w:fill="FFFFFF"/>
          <w:lang w:val="en-US" w:eastAsia="zh-CN" w:bidi="ar-SA"/>
        </w:rPr>
      </w:pPr>
      <w:r>
        <w:rPr>
          <w:rFonts w:hint="default" w:ascii="宋体" w:hAnsi="宋体" w:eastAsiaTheme="minorEastAsia" w:cstheme="minorBidi"/>
          <w:b/>
          <w:snapToGrid w:val="0"/>
          <w:color w:val="FF0000"/>
          <w:kern w:val="0"/>
          <w:sz w:val="36"/>
          <w:szCs w:val="36"/>
          <w:shd w:val="clear" w:color="auto" w:fill="FFFFFF"/>
          <w:lang w:val="en-US" w:eastAsia="zh-CN" w:bidi="ar-SA"/>
        </w:rPr>
        <w:t>临沂城投集团“8+1+4”产业链供应链布局基本形成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宋体" w:hAnsi="宋体" w:eastAsiaTheme="minorEastAsia" w:cstheme="minorBidi"/>
          <w:b/>
          <w:snapToGrid w:val="0"/>
          <w:color w:val="FF0000"/>
          <w:kern w:val="0"/>
          <w:sz w:val="21"/>
          <w:szCs w:val="21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4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2"/>
        <w:jc w:val="center"/>
        <w:textAlignment w:val="auto"/>
        <w:outlineLvl w:val="9"/>
        <w:rPr>
          <w:rFonts w:hint="default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default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  <w:t>来源：临沂城投集团</w:t>
      </w:r>
    </w:p>
    <w:p>
      <w:pPr>
        <w:pStyle w:val="10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 w:ascii="宋体" w:hAnsi="宋体"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60960</wp:posOffset>
                </wp:positionV>
                <wp:extent cx="5511165" cy="4445"/>
                <wp:effectExtent l="0" t="0" r="0" b="0"/>
                <wp:wrapNone/>
                <wp:docPr id="4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1165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6.5pt;margin-top:4.8pt;height:0.35pt;width:433.95pt;z-index:251659264;mso-width-relative:page;mso-height-relative:page;" filled="f" stroked="t" coordsize="21600,21600" o:gfxdata="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sLNmA&#10;1wAAAAgBAAAPAAAAAAAAAAEAIAAAACIAAABkcnMvZG93bnJldi54bWxQSwECFAAUAAAACACHTuJA&#10;32TMI+kBAADeAwAADgAAAAAAAAABACAAAAAm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right="0" w:rightChars="0" w:firstLine="480" w:firstLineChars="200"/>
        <w:textAlignment w:val="auto"/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临沂城投集团顺应经济发展趋势，立足全市重大战略布局，探索转型发展，坚持围绕产业链部署创新链，围绕创新链布局产业链，产业布局从“一”到“多”，业务方向由“虚”向“实”，现已形成城市开发、文旅医养、高端木业、现代农业、教育、金融资本、商业运营、大宗物资供应等“8+1+4”产业链供应链发展布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right="0" w:rightChars="0" w:firstLine="480" w:firstLineChars="200"/>
        <w:textAlignment w:val="auto"/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发展过程中，临沂城投先后参与实施鲁南高铁、临沂北站综合交通枢纽工程、高铁片区、火车站片区改造、机场二期、棚户区改造、奥体中心及双岭路、陶然路、沂河路、蒙山高架桥等城市基础设施500多个民生项目；先后与中石化、中石油、中交、华为、百度、正泰、东软、华设、山东高速等32家合作伙伴强强联手，装备制造、整装木业等实体产业做大做强，运营效益显著提升，占集团总产值的近70%；现代金融、文化旅游、医养教育、智慧城市、现代农业等新兴产业，业态培育初见成效，反哺能力不断提升，占集团总收入的40%以上；混合所有制改革已融入到集团各产业板块，11家混改企业形成产业链，对集团贡献率整体提升14.5%；商贸物流、绿色能源、产业园区等8个业务相近产业实现重组瘦身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right="0" w:rightChars="0" w:firstLine="480" w:firstLineChars="200"/>
        <w:textAlignment w:val="auto"/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特别是今年以来，围绕国企改革三年行动计划，结合发展实际，临沂城投突出主责主业实业，坚持有进有退、有所为有所不为，按照“剥离一批、整合一批、壮大一批”总体思路，全面整合重组12个产业板块、67家参控股公司，二级层面形成十大专业型产业集团；正式启动1家权属企业IPO上市计划，成功落地东方雨虹、清华大学建筑研究院等12个项目；布局绿色板材产业园，与万华生态合作取得阶段性进展；临沂医养中心年内启用，培育的医养健康板块正式迈上轨道；高铁片区学校建设开局破题，城市职业学院稳步推进；11家制造企业得到进一步提升改造，中交建筑科技、远大装配式等15个产业项目形成供应链体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right="0" w:rightChars="0" w:firstLine="480" w:firstLineChars="200"/>
        <w:textAlignment w:val="auto"/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随着“8+1+4”产业链资金链供应链布局基本形成，临沂城投产业链条更加清晰，业务结构更加合理，特别是实体产业成为未来发展的核心支柱，企业抗风险能力不断增强，在兼顾市场化经营和国企民生保障上达到平衡，逐步实现“由大到强、由全到精”的转型升级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4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2"/>
        <w:jc w:val="right"/>
        <w:textAlignment w:val="auto"/>
        <w:outlineLvl w:val="9"/>
        <w:rPr>
          <w:rFonts w:hint="eastAsia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4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2"/>
        <w:jc w:val="right"/>
        <w:textAlignment w:val="auto"/>
        <w:outlineLvl w:val="9"/>
        <w:rPr>
          <w:rFonts w:hint="eastAsia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  <w:t>海口市城市建设投资有限公司</w:t>
      </w:r>
    </w:p>
    <w:p>
      <w:pPr>
        <w:keepNext w:val="0"/>
        <w:keepLines w:val="0"/>
        <w:pageBreakBefore w:val="0"/>
        <w:widowControl w:val="0"/>
        <w:tabs>
          <w:tab w:val="left" w:pos="4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2"/>
        <w:jc w:val="right"/>
        <w:textAlignment w:val="auto"/>
        <w:outlineLvl w:val="9"/>
        <w:rPr>
          <w:rFonts w:hint="eastAsia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2021</w:t>
      </w:r>
      <w:r>
        <w:rPr>
          <w:rFonts w:hint="eastAsia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  <w:t>年</w:t>
      </w:r>
      <w:r>
        <w:rPr>
          <w:rFonts w:hint="eastAsia" w:ascii="宋体" w:hAnsi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11</w:t>
      </w:r>
      <w:r>
        <w:rPr>
          <w:rFonts w:hint="eastAsia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  <w:t>月</w:t>
      </w:r>
      <w:r>
        <w:rPr>
          <w:rFonts w:hint="eastAsia" w:ascii="宋体" w:hAnsi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30</w:t>
      </w:r>
      <w:r>
        <w:rPr>
          <w:rFonts w:hint="eastAsia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711B6"/>
    <w:rsid w:val="01B34423"/>
    <w:rsid w:val="02E9239D"/>
    <w:rsid w:val="03802FAA"/>
    <w:rsid w:val="05605221"/>
    <w:rsid w:val="07183EFD"/>
    <w:rsid w:val="0B49215B"/>
    <w:rsid w:val="0C1510B5"/>
    <w:rsid w:val="0C323478"/>
    <w:rsid w:val="0C8B726C"/>
    <w:rsid w:val="0CCF11AA"/>
    <w:rsid w:val="0E3837D3"/>
    <w:rsid w:val="106814C6"/>
    <w:rsid w:val="11242915"/>
    <w:rsid w:val="11B2016B"/>
    <w:rsid w:val="11B25936"/>
    <w:rsid w:val="11C26D1D"/>
    <w:rsid w:val="135711B6"/>
    <w:rsid w:val="17E65176"/>
    <w:rsid w:val="1C077BB4"/>
    <w:rsid w:val="1D644D34"/>
    <w:rsid w:val="1E8C2F5B"/>
    <w:rsid w:val="21AF5AE2"/>
    <w:rsid w:val="21D167FF"/>
    <w:rsid w:val="22593A46"/>
    <w:rsid w:val="24093C83"/>
    <w:rsid w:val="25140E91"/>
    <w:rsid w:val="2661183B"/>
    <w:rsid w:val="26D66E8E"/>
    <w:rsid w:val="286859B9"/>
    <w:rsid w:val="298433C2"/>
    <w:rsid w:val="29894E55"/>
    <w:rsid w:val="2B4E6124"/>
    <w:rsid w:val="2BC96687"/>
    <w:rsid w:val="2CC17CB9"/>
    <w:rsid w:val="2DBD30F1"/>
    <w:rsid w:val="2DCF4E54"/>
    <w:rsid w:val="2DFB280F"/>
    <w:rsid w:val="2ECA5F7D"/>
    <w:rsid w:val="2F1D4CC3"/>
    <w:rsid w:val="30253624"/>
    <w:rsid w:val="32E50573"/>
    <w:rsid w:val="351D0E15"/>
    <w:rsid w:val="364879E2"/>
    <w:rsid w:val="3773053B"/>
    <w:rsid w:val="37B874E3"/>
    <w:rsid w:val="387E2BC0"/>
    <w:rsid w:val="3AD010DD"/>
    <w:rsid w:val="3CEB33CD"/>
    <w:rsid w:val="42D84824"/>
    <w:rsid w:val="43215475"/>
    <w:rsid w:val="441A3D4C"/>
    <w:rsid w:val="44FD6564"/>
    <w:rsid w:val="467D421D"/>
    <w:rsid w:val="480B25EE"/>
    <w:rsid w:val="4890330D"/>
    <w:rsid w:val="48D21008"/>
    <w:rsid w:val="4CEB02D2"/>
    <w:rsid w:val="53410626"/>
    <w:rsid w:val="55B1257D"/>
    <w:rsid w:val="5A30331E"/>
    <w:rsid w:val="5B951F4C"/>
    <w:rsid w:val="5E0D378B"/>
    <w:rsid w:val="5EBB0E8D"/>
    <w:rsid w:val="5F1E5AC5"/>
    <w:rsid w:val="602C7E0F"/>
    <w:rsid w:val="60C01E77"/>
    <w:rsid w:val="61140174"/>
    <w:rsid w:val="64CF6463"/>
    <w:rsid w:val="678E1AC9"/>
    <w:rsid w:val="6CE1567F"/>
    <w:rsid w:val="6D3D22B1"/>
    <w:rsid w:val="6D84762F"/>
    <w:rsid w:val="70594F33"/>
    <w:rsid w:val="713016CA"/>
    <w:rsid w:val="72662AEE"/>
    <w:rsid w:val="72C82FFA"/>
    <w:rsid w:val="7416122C"/>
    <w:rsid w:val="767203B6"/>
    <w:rsid w:val="782A0984"/>
    <w:rsid w:val="783E0425"/>
    <w:rsid w:val="78C228B5"/>
    <w:rsid w:val="7CE10643"/>
    <w:rsid w:val="7D917E57"/>
    <w:rsid w:val="7DDA2A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964" w:firstLineChars="200"/>
    </w:pPr>
    <w:rPr>
      <w:sz w:val="28"/>
    </w:rPr>
  </w:style>
  <w:style w:type="paragraph" w:styleId="5">
    <w:name w:val="Body Text"/>
    <w:basedOn w:val="1"/>
    <w:next w:val="6"/>
    <w:qFormat/>
    <w:uiPriority w:val="0"/>
    <w:pPr>
      <w:spacing w:before="240" w:beforeLines="0" w:after="60" w:afterLines="0"/>
      <w:ind w:firstLine="640" w:firstLineChars="200"/>
      <w:jc w:val="center"/>
      <w:outlineLvl w:val="0"/>
    </w:pPr>
    <w:rPr>
      <w:rFonts w:ascii="仿宋_GB2312" w:hAnsi="仿宋_GB2312" w:cs="仿宋_GB2312"/>
      <w:sz w:val="21"/>
      <w:szCs w:val="32"/>
    </w:rPr>
  </w:style>
  <w:style w:type="paragraph" w:styleId="6">
    <w:name w:val="Title"/>
    <w:basedOn w:val="1"/>
    <w:next w:val="1"/>
    <w:qFormat/>
    <w:uiPriority w:val="0"/>
    <w:pPr>
      <w:widowControl w:val="0"/>
      <w:spacing w:before="240" w:beforeLines="0" w:after="60" w:afterLines="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7">
    <w:name w:val="Body Text Indent"/>
    <w:basedOn w:val="1"/>
    <w:qFormat/>
    <w:uiPriority w:val="0"/>
    <w:pPr>
      <w:ind w:left="420" w:leftChars="200"/>
    </w:pPr>
    <w:rPr>
      <w:kern w:val="2"/>
      <w:sz w:val="21"/>
      <w:szCs w:val="24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10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2">
    <w:name w:val="Body Text First Indent 2"/>
    <w:basedOn w:val="7"/>
    <w:next w:val="1"/>
    <w:qFormat/>
    <w:uiPriority w:val="0"/>
    <w:pPr>
      <w:widowControl w:val="0"/>
      <w:ind w:firstLine="420"/>
      <w:jc w:val="both"/>
    </w:pPr>
    <w:rPr>
      <w:kern w:val="2"/>
      <w:sz w:val="21"/>
      <w:szCs w:val="24"/>
    </w:r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page number"/>
    <w:basedOn w:val="14"/>
    <w:qFormat/>
    <w:uiPriority w:val="0"/>
  </w:style>
  <w:style w:type="character" w:styleId="17">
    <w:name w:val="FollowedHyperlink"/>
    <w:basedOn w:val="14"/>
    <w:qFormat/>
    <w:uiPriority w:val="0"/>
    <w:rPr>
      <w:rFonts w:hint="eastAsia" w:ascii="宋体" w:hAnsi="宋体" w:eastAsia="宋体" w:cs="宋体"/>
      <w:color w:val="333333"/>
      <w:u w:val="none"/>
    </w:rPr>
  </w:style>
  <w:style w:type="character" w:styleId="18">
    <w:name w:val="Emphasis"/>
    <w:basedOn w:val="14"/>
    <w:qFormat/>
    <w:uiPriority w:val="0"/>
    <w:rPr>
      <w:i/>
    </w:rPr>
  </w:style>
  <w:style w:type="character" w:styleId="19">
    <w:name w:val="Hyperlink"/>
    <w:basedOn w:val="14"/>
    <w:qFormat/>
    <w:uiPriority w:val="0"/>
    <w:rPr>
      <w:rFonts w:hint="eastAsia" w:ascii="宋体" w:hAnsi="宋体" w:eastAsia="宋体" w:cs="宋体"/>
      <w:color w:val="333333"/>
      <w:u w:val="none"/>
    </w:rPr>
  </w:style>
  <w:style w:type="character" w:styleId="20">
    <w:name w:val="HTML Code"/>
    <w:basedOn w:val="14"/>
    <w:qFormat/>
    <w:uiPriority w:val="0"/>
    <w:rPr>
      <w:rFonts w:ascii="Courier New" w:hAnsi="Courier New"/>
      <w:sz w:val="20"/>
    </w:rPr>
  </w:style>
  <w:style w:type="character" w:styleId="21">
    <w:name w:val="HTML Cite"/>
    <w:basedOn w:val="14"/>
    <w:qFormat/>
    <w:uiPriority w:val="0"/>
    <w:rPr>
      <w:i/>
    </w:rPr>
  </w:style>
  <w:style w:type="character" w:customStyle="1" w:styleId="22">
    <w:name w:val="bds_more"/>
    <w:basedOn w:val="14"/>
    <w:qFormat/>
    <w:uiPriority w:val="0"/>
  </w:style>
  <w:style w:type="character" w:customStyle="1" w:styleId="23">
    <w:name w:val="bds_nopic"/>
    <w:basedOn w:val="14"/>
    <w:qFormat/>
    <w:uiPriority w:val="0"/>
  </w:style>
  <w:style w:type="character" w:customStyle="1" w:styleId="24">
    <w:name w:val="bds_nopic1"/>
    <w:basedOn w:val="14"/>
    <w:qFormat/>
    <w:uiPriority w:val="0"/>
  </w:style>
  <w:style w:type="character" w:customStyle="1" w:styleId="25">
    <w:name w:val="bds_nopic2"/>
    <w:basedOn w:val="14"/>
    <w:qFormat/>
    <w:uiPriority w:val="0"/>
  </w:style>
  <w:style w:type="character" w:customStyle="1" w:styleId="26">
    <w:name w:val="current"/>
    <w:basedOn w:val="14"/>
    <w:qFormat/>
    <w:uiPriority w:val="0"/>
    <w:rPr>
      <w:b/>
      <w:color w:val="666666"/>
      <w:bdr w:val="single" w:color="E0E0E0" w:sz="6" w:space="0"/>
      <w:shd w:val="clear" w:fill="F0F0F0"/>
    </w:rPr>
  </w:style>
  <w:style w:type="character" w:customStyle="1" w:styleId="27">
    <w:name w:val="disabled"/>
    <w:basedOn w:val="14"/>
    <w:qFormat/>
    <w:uiPriority w:val="0"/>
    <w:rPr>
      <w:color w:val="CCCCCC"/>
      <w:bdr w:val="single" w:color="DBDADA" w:sz="6" w:space="0"/>
    </w:rPr>
  </w:style>
  <w:style w:type="character" w:customStyle="1" w:styleId="28">
    <w:name w:val="tab_active"/>
    <w:basedOn w:val="14"/>
    <w:qFormat/>
    <w:uiPriority w:val="0"/>
    <w:rPr>
      <w:color w:val="666666"/>
    </w:rPr>
  </w:style>
  <w:style w:type="character" w:customStyle="1" w:styleId="29">
    <w:name w:val="current2"/>
    <w:basedOn w:val="14"/>
    <w:qFormat/>
    <w:uiPriority w:val="0"/>
    <w:rPr>
      <w:b/>
      <w:color w:val="666666"/>
      <w:bdr w:val="single" w:color="E0E0E0" w:sz="6" w:space="0"/>
      <w:shd w:val="clear" w:fill="F0F0F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2017-02-24T02:28:00Z</dcterms:created>
  <dc:creator>lenovo</dc:creator>
  <cp:lastModifiedBy>嘤嘤嘤^^</cp:lastModifiedBy>
  <dcterms:modified xsi:type="dcterms:W3CDTF">2022-01-05T01:34:20Z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94D68A1A2BAA4D88B8E1D5E94F87C7FD</vt:lpwstr>
  </property>
</Properties>
</file>