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Theme="minorEastAsia" w:cstheme="minorBidi"/>
          <w:b/>
          <w:snapToGrid w:val="0"/>
          <w:color w:val="FF0000"/>
          <w:kern w:val="0"/>
          <w:sz w:val="36"/>
          <w:szCs w:val="36"/>
          <w:shd w:val="clear" w:color="auto" w:fill="FFFFFF"/>
          <w:lang w:val="en-US" w:eastAsia="zh-CN" w:bidi="ar-SA"/>
        </w:rPr>
      </w:pPr>
      <w:r>
        <w:rPr>
          <w:rFonts w:hint="default" w:ascii="宋体" w:hAnsi="宋体" w:eastAsiaTheme="minorEastAsia" w:cstheme="minorBidi"/>
          <w:b/>
          <w:snapToGrid w:val="0"/>
          <w:color w:val="FF0000"/>
          <w:kern w:val="0"/>
          <w:sz w:val="36"/>
          <w:szCs w:val="36"/>
          <w:shd w:val="clear" w:color="auto" w:fill="FFFFFF"/>
          <w:lang w:val="en-US" w:eastAsia="zh-CN" w:bidi="ar-SA"/>
        </w:rPr>
        <w:t>中交城投联合体中标贵阳城市更新项目总投资金额65亿元</w:t>
      </w:r>
    </w:p>
    <w:p>
      <w:pPr>
        <w:pStyle w:val="12"/>
        <w:keepNext w:val="0"/>
        <w:keepLines w:val="0"/>
        <w:pageBreakBefore w:val="0"/>
        <w:widowControl w:val="0"/>
        <w:kinsoku/>
        <w:wordWrap/>
        <w:overflowPunct/>
        <w:topLinePunct w:val="0"/>
        <w:autoSpaceDE/>
        <w:autoSpaceDN/>
        <w:bidi w:val="0"/>
        <w:adjustRightInd/>
        <w:snapToGrid/>
        <w:ind w:firstLine="420"/>
        <w:textAlignment w:val="auto"/>
        <w:rPr>
          <w:rFonts w:hint="default"/>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center"/>
        <w:textAlignment w:val="auto"/>
        <w:outlineLvl w:val="9"/>
        <w:rPr>
          <w:rFonts w:hint="default" w:ascii="宋体" w:hAnsi="宋体" w:cs="宋体" w:eastAsiaTheme="minorEastAsia"/>
          <w:snapToGrid w:val="0"/>
          <w:color w:val="000000"/>
          <w:kern w:val="0"/>
          <w:sz w:val="24"/>
          <w:szCs w:val="24"/>
          <w:lang w:val="en-US" w:eastAsia="zh-CN" w:bidi="ar-SA"/>
        </w:rPr>
      </w:pPr>
      <w:r>
        <w:rPr>
          <w:rFonts w:hint="default" w:ascii="宋体" w:hAnsi="宋体" w:cs="宋体" w:eastAsiaTheme="minorEastAsia"/>
          <w:snapToGrid w:val="0"/>
          <w:color w:val="000000"/>
          <w:kern w:val="0"/>
          <w:sz w:val="24"/>
          <w:szCs w:val="24"/>
          <w:lang w:val="en-US" w:eastAsia="zh-CN" w:bidi="ar-SA"/>
        </w:rPr>
        <w:t>来源：观点地产网</w:t>
      </w:r>
    </w:p>
    <w:p>
      <w:pPr>
        <w:pStyle w:val="12"/>
        <w:rPr>
          <w:rFonts w:hint="eastAsia"/>
          <w:lang w:val="en-US" w:eastAsia="zh-CN"/>
        </w:rPr>
      </w:pPr>
      <w:r>
        <w:rPr>
          <w:rFonts w:hint="eastAsia" w:ascii="宋体" w:hAnsi="宋体"/>
          <w:color w:val="000000"/>
          <w:sz w:val="24"/>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148590</wp:posOffset>
                </wp:positionV>
                <wp:extent cx="5511165" cy="4445"/>
                <wp:effectExtent l="0" t="0" r="0" b="0"/>
                <wp:wrapNone/>
                <wp:docPr id="2"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5pt;margin-top:11.7pt;height:0.35pt;width:433.95pt;z-index:251659264;mso-width-relative:page;mso-height-relative:page;" filled="f" stroked="t" coordsize="21600,21600" o:gfxdata="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8GS&#10;uNgAAAAJAQAADwAAAAAAAAABACAAAAAiAAAAZHJzL2Rvd25yZXYueG1sUEsBAhQAFAAAAAgAh07i&#10;QFerUgbpAQAA3gMAAA4AAAAAAAAAAQAgAAAAJwEAAGRycy9lMm9Eb2MueG1sUEsFBgAAAAAGAAYA&#10;WQEAAIIFAAAAAA==&#10;">
                <v:fill on="f" focussize="0,0"/>
                <v:stroke color="#00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7月21日，中交城投联合中房集团以及云岩城市更新公司中标贵阳市云岩区人民大道城市更新项目，项目总投资金额约65亿元，采用“城镇低效用地再开发”模式。</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据观点地产新媒体了解，该项目位于贵阳市云岩区，北至北京路，南抵环城北路、永乐路，西至瑞金北路，东至六广门体育馆，距离贵州省政府1公里，紧邻双地铁交通枢纽，总占地面积约9.6万平方米，项目合作内容包括城市更新规划设计、房屋征收搬迁及安置复建、道路及绿化工程、房屋建设投资、产业发展服务管理等。</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该项目是在省会城市、中心城区落地、一二三级联动的城市更新项目，为中交城投后续持续拓展核心城市的城市更新类业务、践行向城市进军的战略奠定了良好基础。项目建成后，将助力贵阳市落实“强省会”战略，进一步推动核心城区的空间优化，改善居住就业生活环境，推进产业现代化转型，加速高端产业和高端人口导入，持续提升云岩区服务全省、辐射西南的引领示范能力，促进贵阳</w:t>
      </w:r>
      <w:r>
        <w:rPr>
          <w:rFonts w:hint="eastAsia" w:ascii="宋体" w:hAnsi="宋体" w:eastAsia="宋体" w:cs="宋体"/>
          <w:snapToGrid w:val="0"/>
          <w:color w:val="000000"/>
          <w:kern w:val="0"/>
          <w:sz w:val="24"/>
          <w:szCs w:val="24"/>
          <w:lang w:val="en-US" w:eastAsia="zh-CN" w:bidi="ar-SA"/>
        </w:rPr>
        <w:t>市经济社会发展。</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这是中交城投以集团“三重两大两优四做”经营战略引领，围绕“城市综合开发 ”主线，立足新发展阶段、践行新发展理念、融入新发展格局的重要突破。</w:t>
      </w:r>
    </w:p>
    <w:p>
      <w:pPr>
        <w:rPr>
          <w:rFonts w:hint="eastAsia" w:ascii="宋体" w:hAnsi="宋体" w:cs="宋体" w:eastAsiaTheme="minorEastAsia"/>
          <w:snapToGrid w:val="0"/>
          <w:color w:val="000000"/>
          <w:kern w:val="0"/>
          <w:sz w:val="24"/>
          <w:szCs w:val="24"/>
          <w:lang w:val="en-US" w:eastAsia="zh-CN" w:bidi="ar-SA"/>
        </w:rPr>
      </w:pPr>
    </w:p>
    <w:p>
      <w:pPr>
        <w:pStyle w:val="12"/>
        <w:ind w:left="0" w:leftChars="0" w:firstLine="0" w:firstLineChars="0"/>
        <w:rPr>
          <w:rFonts w:hint="eastAsia" w:ascii="宋体" w:hAnsi="宋体" w:cs="宋体" w:eastAsiaTheme="minorEastAsia"/>
          <w:snapToGrid w:val="0"/>
          <w:color w:val="000000"/>
          <w:kern w:val="0"/>
          <w:sz w:val="24"/>
          <w:szCs w:val="24"/>
          <w:lang w:val="en-US" w:eastAsia="zh-CN" w:bidi="ar-SA"/>
        </w:rPr>
      </w:pPr>
    </w:p>
    <w:p>
      <w:pPr>
        <w:rPr>
          <w:rFonts w:hint="eastAsia" w:ascii="宋体" w:hAnsi="宋体" w:cs="宋体" w:eastAsiaTheme="minorEastAsia"/>
          <w:snapToGrid w:val="0"/>
          <w:color w:val="000000"/>
          <w:kern w:val="0"/>
          <w:sz w:val="24"/>
          <w:szCs w:val="24"/>
          <w:lang w:val="en-US" w:eastAsia="zh-CN" w:bidi="ar-SA"/>
        </w:rPr>
      </w:pPr>
    </w:p>
    <w:p>
      <w:pPr>
        <w:pStyle w:val="2"/>
        <w:rPr>
          <w:rFonts w:hint="eastAsia"/>
          <w:lang w:val="en-US" w:eastAsia="zh-CN"/>
        </w:rPr>
      </w:pP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宋体" w:hAnsi="宋体" w:eastAsiaTheme="minorEastAsia" w:cstheme="minorBidi"/>
          <w:b/>
          <w:snapToGrid w:val="0"/>
          <w:color w:val="FF0000"/>
          <w:kern w:val="0"/>
          <w:sz w:val="36"/>
          <w:szCs w:val="36"/>
          <w:shd w:val="clear" w:color="auto" w:fill="FFFFFF"/>
          <w:lang w:val="en-US" w:eastAsia="zh-CN" w:bidi="ar-SA"/>
        </w:rPr>
      </w:pPr>
      <w:r>
        <w:rPr>
          <w:rFonts w:hint="default" w:ascii="宋体" w:hAnsi="宋体" w:eastAsiaTheme="minorEastAsia" w:cstheme="minorBidi"/>
          <w:b/>
          <w:snapToGrid w:val="0"/>
          <w:color w:val="FF0000"/>
          <w:kern w:val="0"/>
          <w:sz w:val="36"/>
          <w:szCs w:val="36"/>
          <w:shd w:val="clear" w:color="auto" w:fill="FFFFFF"/>
          <w:lang w:val="en-US" w:eastAsia="zh-CN" w:bidi="ar-SA"/>
        </w:rPr>
        <w:t>哈城投与中石油黑龙江销售公司签约共同建设运营加油加气站项目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default"/>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center"/>
        <w:textAlignment w:val="auto"/>
        <w:outlineLvl w:val="9"/>
        <w:rPr>
          <w:rFonts w:hint="default" w:ascii="宋体" w:hAnsi="宋体" w:cs="宋体" w:eastAsiaTheme="minorEastAsia"/>
          <w:snapToGrid w:val="0"/>
          <w:color w:val="000000"/>
          <w:kern w:val="0"/>
          <w:sz w:val="24"/>
          <w:szCs w:val="24"/>
          <w:lang w:val="en-US" w:eastAsia="zh-CN" w:bidi="ar-SA"/>
        </w:rPr>
      </w:pPr>
      <w:r>
        <w:rPr>
          <w:rFonts w:hint="default" w:ascii="宋体" w:hAnsi="宋体" w:cs="宋体" w:eastAsiaTheme="minorEastAsia"/>
          <w:snapToGrid w:val="0"/>
          <w:color w:val="000000"/>
          <w:kern w:val="0"/>
          <w:sz w:val="24"/>
          <w:szCs w:val="24"/>
          <w:lang w:val="en-US" w:eastAsia="zh-CN" w:bidi="ar-SA"/>
        </w:rPr>
        <w:t>来源：ZAKER哈尔滨</w:t>
      </w:r>
      <w:bookmarkStart w:id="0" w:name="_GoBack"/>
      <w:bookmarkEnd w:id="0"/>
    </w:p>
    <w:p>
      <w:pPr>
        <w:pStyle w:val="10"/>
        <w:rPr>
          <w:rFonts w:hint="default"/>
          <w:lang w:val="en-US" w:eastAsia="zh-CN"/>
        </w:rPr>
      </w:pPr>
    </w:p>
    <w:p>
      <w:pPr>
        <w:rPr>
          <w:rFonts w:hint="default"/>
          <w:lang w:val="en-US" w:eastAsia="zh-CN"/>
        </w:rPr>
      </w:pPr>
      <w:r>
        <w:rPr>
          <w:rFonts w:hint="eastAsia" w:ascii="宋体" w:hAnsi="宋体"/>
          <w:color w:val="000000"/>
          <w:sz w:val="24"/>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60960</wp:posOffset>
                </wp:positionV>
                <wp:extent cx="5511165" cy="4445"/>
                <wp:effectExtent l="0" t="0" r="0" b="0"/>
                <wp:wrapNone/>
                <wp:docPr id="4" name="直线 3"/>
                <wp:cNvGraphicFramePr/>
                <a:graphic xmlns:a="http://schemas.openxmlformats.org/drawingml/2006/main">
                  <a:graphicData uri="http://schemas.microsoft.com/office/word/2010/wordprocessingShape">
                    <wps:wsp>
                      <wps:cNvCnPr/>
                      <wps:spPr>
                        <a:xfrm>
                          <a:off x="0" y="0"/>
                          <a:ext cx="5511165"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5pt;margin-top:4.8pt;height:0.35pt;width:433.95pt;z-index:251659264;mso-width-relative:page;mso-height-relative:page;" filled="f" stroked="t" coordsize="21600,21600" o:gfxdata="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sLNmA&#10;1wAAAAgBAAAPAAAAAAAAAAEAIAAAACIAAABkcnMvZG93bnJldi54bWxQSwECFAAUAAAACACHTuJA&#10;32TMI+kBAADeAwAADgAAAAAAAAABACAAAAAmAQAAZHJzL2Uyb0RvYy54bWxQSwUGAAAAAAYABgBZ&#10;AQAAgQUAAAAA&#10;">
                <v:fill on="f" focussize="0,0"/>
                <v:stroke color="#00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近日，哈城投集团与中石油黑龙江销售分公司签约成立合资公司——哈尔滨市城投中油能源有限公司，共同建设运营加油加气站项目。合资公司的成立将推动我省</w:t>
      </w:r>
      <w:r>
        <w:rPr>
          <w:rFonts w:hint="eastAsia" w:eastAsia="宋体" w:cs="宋体"/>
          <w:snapToGrid w:val="0"/>
          <w:color w:val="000000"/>
          <w:kern w:val="0"/>
          <w:sz w:val="24"/>
          <w:szCs w:val="24"/>
          <w:lang w:val="en-US" w:eastAsia="zh-CN" w:bidi="ar-SA"/>
        </w:rPr>
        <w:t>“</w:t>
      </w:r>
      <w:r>
        <w:rPr>
          <w:rFonts w:hint="eastAsia" w:ascii="宋体" w:hAnsi="宋体" w:eastAsia="宋体" w:cs="宋体"/>
          <w:snapToGrid w:val="0"/>
          <w:color w:val="000000"/>
          <w:kern w:val="0"/>
          <w:sz w:val="24"/>
          <w:szCs w:val="24"/>
          <w:lang w:val="en-US" w:eastAsia="zh-CN" w:bidi="ar-SA"/>
        </w:rPr>
        <w:t xml:space="preserve"> 油头化尾</w:t>
      </w:r>
      <w:r>
        <w:rPr>
          <w:rFonts w:hint="eastAsia" w:eastAsia="宋体" w:cs="宋体"/>
          <w:snapToGrid w:val="0"/>
          <w:color w:val="000000"/>
          <w:kern w:val="0"/>
          <w:sz w:val="24"/>
          <w:szCs w:val="24"/>
          <w:lang w:val="en-US" w:eastAsia="zh-CN" w:bidi="ar-SA"/>
        </w:rPr>
        <w:t>”</w:t>
      </w:r>
      <w:r>
        <w:rPr>
          <w:rFonts w:hint="eastAsia" w:ascii="宋体" w:hAnsi="宋体" w:eastAsia="宋体" w:cs="宋体"/>
          <w:snapToGrid w:val="0"/>
          <w:color w:val="000000"/>
          <w:kern w:val="0"/>
          <w:sz w:val="24"/>
          <w:szCs w:val="24"/>
          <w:lang w:val="en-US" w:eastAsia="zh-CN" w:bidi="ar-SA"/>
        </w:rPr>
        <w:t xml:space="preserve"> 战略落实落地，积极参与构建哈尔滨</w:t>
      </w:r>
      <w:r>
        <w:rPr>
          <w:rFonts w:hint="eastAsia" w:eastAsia="宋体" w:cs="宋体"/>
          <w:snapToGrid w:val="0"/>
          <w:color w:val="000000"/>
          <w:kern w:val="0"/>
          <w:sz w:val="24"/>
          <w:szCs w:val="24"/>
          <w:lang w:val="en-US" w:eastAsia="zh-CN" w:bidi="ar-SA"/>
        </w:rPr>
        <w:t>“</w:t>
      </w:r>
      <w:r>
        <w:rPr>
          <w:rFonts w:hint="eastAsia" w:ascii="宋体" w:hAnsi="宋体" w:eastAsia="宋体" w:cs="宋体"/>
          <w:snapToGrid w:val="0"/>
          <w:color w:val="000000"/>
          <w:kern w:val="0"/>
          <w:sz w:val="24"/>
          <w:szCs w:val="24"/>
          <w:lang w:val="en-US" w:eastAsia="zh-CN" w:bidi="ar-SA"/>
        </w:rPr>
        <w:t>4+4</w:t>
      </w:r>
      <w:r>
        <w:rPr>
          <w:rFonts w:hint="eastAsia" w:eastAsia="宋体" w:cs="宋体"/>
          <w:snapToGrid w:val="0"/>
          <w:color w:val="000000"/>
          <w:kern w:val="0"/>
          <w:sz w:val="24"/>
          <w:szCs w:val="24"/>
          <w:lang w:val="en-US" w:eastAsia="zh-CN" w:bidi="ar-SA"/>
        </w:rPr>
        <w:t>”</w:t>
      </w:r>
      <w:r>
        <w:rPr>
          <w:rFonts w:hint="eastAsia" w:ascii="宋体" w:hAnsi="宋体" w:eastAsia="宋体" w:cs="宋体"/>
          <w:snapToGrid w:val="0"/>
          <w:color w:val="000000"/>
          <w:kern w:val="0"/>
          <w:sz w:val="24"/>
          <w:szCs w:val="24"/>
          <w:lang w:val="en-US" w:eastAsia="zh-CN" w:bidi="ar-SA"/>
        </w:rPr>
        <w:t>"现代产业新体系，加强哈尔滨市成品油市场整治，巩固扩大央地合作成果。</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自 2004 年成立以来，哈城投集团始终致力于服务城市建设发展，为改善城市环境面貌、提升城市功能品质做出了积极贡献。哈城投集团立足城市建设运营、投融资、资产运营、体育产业、数字经济、环保产业</w:t>
      </w:r>
      <w:r>
        <w:rPr>
          <w:rFonts w:hint="eastAsia" w:eastAsia="宋体" w:cs="宋体"/>
          <w:snapToGrid w:val="0"/>
          <w:color w:val="000000"/>
          <w:kern w:val="0"/>
          <w:sz w:val="24"/>
          <w:szCs w:val="24"/>
          <w:lang w:val="en-US" w:eastAsia="zh-CN" w:bidi="ar-SA"/>
        </w:rPr>
        <w:t>“</w:t>
      </w:r>
      <w:r>
        <w:rPr>
          <w:rFonts w:hint="eastAsia" w:ascii="宋体" w:hAnsi="宋体" w:eastAsia="宋体" w:cs="宋体"/>
          <w:snapToGrid w:val="0"/>
          <w:color w:val="000000"/>
          <w:kern w:val="0"/>
          <w:sz w:val="24"/>
          <w:szCs w:val="24"/>
          <w:lang w:val="en-US" w:eastAsia="zh-CN" w:bidi="ar-SA"/>
        </w:rPr>
        <w:t>六大板块</w:t>
      </w:r>
      <w:r>
        <w:rPr>
          <w:rFonts w:hint="eastAsia" w:eastAsia="宋体" w:cs="宋体"/>
          <w:snapToGrid w:val="0"/>
          <w:color w:val="000000"/>
          <w:kern w:val="0"/>
          <w:sz w:val="24"/>
          <w:szCs w:val="24"/>
          <w:lang w:val="en-US" w:eastAsia="zh-CN" w:bidi="ar-SA"/>
        </w:rPr>
        <w:t>”</w:t>
      </w:r>
      <w:r>
        <w:rPr>
          <w:rFonts w:hint="eastAsia" w:ascii="宋体" w:hAnsi="宋体" w:eastAsia="宋体" w:cs="宋体"/>
          <w:snapToGrid w:val="0"/>
          <w:color w:val="000000"/>
          <w:kern w:val="0"/>
          <w:sz w:val="24"/>
          <w:szCs w:val="24"/>
          <w:lang w:val="en-US" w:eastAsia="zh-CN" w:bidi="ar-SA"/>
        </w:rPr>
        <w:t>产业布局，加快推进市场化转型、数字化转型、产业化转型，服务城市发展战略的保障能力和市场竞争力不断增强，在推动城市高质量发展的进程中发挥着越来越重要的作用。</w:t>
      </w:r>
    </w:p>
    <w:p>
      <w:pPr>
        <w:keepNext w:val="0"/>
        <w:keepLines w:val="0"/>
        <w:pageBreakBefore w:val="0"/>
        <w:kinsoku/>
        <w:wordWrap/>
        <w:overflowPunct/>
        <w:topLinePunct w:val="0"/>
        <w:autoSpaceDE/>
        <w:autoSpaceDN/>
        <w:bidi w:val="0"/>
        <w:adjustRightInd/>
        <w:snapToGrid/>
        <w:spacing w:beforeAutospacing="0" w:line="560" w:lineRule="exact"/>
        <w:ind w:right="0" w:rightChars="0" w:firstLine="480" w:firstLineChars="200"/>
        <w:textAlignment w:val="auto"/>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中石油黑龙江销售公司是黑龙江省最大的能源供应商，主要从事汽柴油、天然气服务业务，保障全省的能源需求，拥有强大的资源优势、完备的物流体系、完善的销售网络，卓越的品牌影响力和服务保障力。目前，中石油黑龙江销售公司油库库容占全省三分之二，加油（气）站遍布城乡，市场占有率70%以上。</w:t>
      </w:r>
    </w:p>
    <w:p>
      <w:pPr>
        <w:keepNext w:val="0"/>
        <w:keepLines w:val="0"/>
        <w:pageBreakBefore w:val="0"/>
        <w:widowControl/>
        <w:kinsoku/>
        <w:wordWrap/>
        <w:overflowPunct/>
        <w:topLinePunct w:val="0"/>
        <w:autoSpaceDE/>
        <w:autoSpaceDN/>
        <w:bidi w:val="0"/>
        <w:adjustRightInd/>
        <w:snapToGrid/>
        <w:spacing w:beforeAutospacing="0" w:line="560" w:lineRule="exact"/>
        <w:ind w:left="0" w:leftChars="0" w:right="0" w:rightChars="0" w:firstLine="480" w:firstLineChars="200"/>
        <w:jc w:val="left"/>
        <w:textAlignment w:val="auto"/>
        <w:outlineLvl w:val="9"/>
        <w:rPr>
          <w:rFonts w:hint="eastAsia" w:ascii="宋体" w:hAnsi="宋体" w:eastAsia="宋体" w:cs="宋体"/>
          <w:snapToGrid w:val="0"/>
          <w:color w:val="000000"/>
          <w:kern w:val="0"/>
          <w:sz w:val="24"/>
          <w:szCs w:val="24"/>
          <w:lang w:val="en-US" w:eastAsia="zh-CN" w:bidi="ar-SA"/>
        </w:rPr>
      </w:pPr>
      <w:r>
        <w:rPr>
          <w:rFonts w:hint="eastAsia" w:ascii="宋体" w:hAnsi="宋体" w:eastAsia="宋体" w:cs="宋体"/>
          <w:snapToGrid w:val="0"/>
          <w:color w:val="000000"/>
          <w:kern w:val="0"/>
          <w:sz w:val="24"/>
          <w:szCs w:val="24"/>
          <w:lang w:val="en-US" w:eastAsia="zh-CN" w:bidi="ar-SA"/>
        </w:rPr>
        <w:t>此次合作，双方将紧紧围绕国家能源新战略、</w:t>
      </w:r>
      <w:r>
        <w:rPr>
          <w:rFonts w:hint="eastAsia" w:eastAsia="宋体" w:cs="宋体"/>
          <w:snapToGrid w:val="0"/>
          <w:color w:val="000000"/>
          <w:kern w:val="0"/>
          <w:sz w:val="24"/>
          <w:szCs w:val="24"/>
          <w:lang w:val="en-US" w:eastAsia="zh-CN" w:bidi="ar-SA"/>
        </w:rPr>
        <w:t>“</w:t>
      </w:r>
      <w:r>
        <w:rPr>
          <w:rFonts w:hint="eastAsia" w:ascii="宋体" w:hAnsi="宋体" w:eastAsia="宋体" w:cs="宋体"/>
          <w:snapToGrid w:val="0"/>
          <w:color w:val="000000"/>
          <w:kern w:val="0"/>
          <w:sz w:val="24"/>
          <w:szCs w:val="24"/>
          <w:lang w:val="en-US" w:eastAsia="zh-CN" w:bidi="ar-SA"/>
        </w:rPr>
        <w:t>3060</w:t>
      </w:r>
      <w:r>
        <w:rPr>
          <w:rFonts w:hint="eastAsia" w:eastAsia="宋体" w:cs="宋体"/>
          <w:snapToGrid w:val="0"/>
          <w:color w:val="000000"/>
          <w:kern w:val="0"/>
          <w:sz w:val="24"/>
          <w:szCs w:val="24"/>
          <w:lang w:val="en-US" w:eastAsia="zh-CN" w:bidi="ar-SA"/>
        </w:rPr>
        <w:t>”</w:t>
      </w:r>
      <w:r>
        <w:rPr>
          <w:rFonts w:hint="eastAsia" w:ascii="宋体" w:hAnsi="宋体" w:eastAsia="宋体" w:cs="宋体"/>
          <w:snapToGrid w:val="0"/>
          <w:color w:val="000000"/>
          <w:kern w:val="0"/>
          <w:sz w:val="24"/>
          <w:szCs w:val="24"/>
          <w:lang w:val="en-US" w:eastAsia="zh-CN" w:bidi="ar-SA"/>
        </w:rPr>
        <w:t>碳达峰碳中和目标，发挥各自在技术、研发、资金、市场和基础设施建设、运营等方面优势，高效整合资源。合作将形成规模效应，进一步加快区域性加油加气行业整合以及绿色环保产业链的打造进程，为客户提供全产品、全渠道、全路途的综合服务。双方将以合资公司为平台，以城投停车场智能管理平台为载体，结合中石油公司智慧加油站优势资源打造集智慧加油站，共同开展加油加气、充电、便利店等相关业务。同时，共享产业数字经济互通互联。此外，双方还将在国企改革、产业合作和创新发展等方面深入开展全方位、多维度合作。</w:t>
      </w:r>
    </w:p>
    <w:p>
      <w:pPr>
        <w:pStyle w:val="5"/>
        <w:rPr>
          <w:rFonts w:hint="eastAsia" w:ascii="宋体" w:hAnsi="宋体" w:eastAsia="宋体" w:cs="宋体"/>
          <w:snapToGrid w:val="0"/>
          <w:color w:val="000000"/>
          <w:kern w:val="0"/>
          <w:sz w:val="24"/>
          <w:szCs w:val="24"/>
          <w:lang w:val="en-US" w:eastAsia="zh-CN" w:bidi="ar-SA"/>
        </w:rPr>
      </w:pPr>
    </w:p>
    <w:p>
      <w:pPr>
        <w:pStyle w:val="6"/>
        <w:rPr>
          <w:rFonts w:hint="eastAsia" w:ascii="宋体" w:hAnsi="宋体" w:eastAsia="宋体" w:cs="宋体"/>
          <w:snapToGrid w:val="0"/>
          <w:color w:val="000000"/>
          <w:kern w:val="0"/>
          <w:sz w:val="24"/>
          <w:szCs w:val="24"/>
          <w:lang w:val="en-US" w:eastAsia="zh-CN" w:bidi="ar-SA"/>
        </w:rPr>
      </w:pPr>
    </w:p>
    <w:p>
      <w:pPr>
        <w:rPr>
          <w:rFonts w:hint="eastAsia"/>
          <w:lang w:val="en-US" w:eastAsia="zh-CN"/>
        </w:rPr>
      </w:pP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eastAsiaTheme="minorEastAsia"/>
          <w:snapToGrid w:val="0"/>
          <w:color w:val="000000"/>
          <w:kern w:val="0"/>
          <w:sz w:val="24"/>
          <w:szCs w:val="24"/>
          <w:lang w:val="en-US" w:eastAsia="zh-CN" w:bidi="ar-SA"/>
        </w:rPr>
        <w:t>海口市城市建设投资有限公司</w:t>
      </w:r>
    </w:p>
    <w:p>
      <w:pPr>
        <w:keepNext w:val="0"/>
        <w:keepLines w:val="0"/>
        <w:pageBreakBefore w:val="0"/>
        <w:widowControl w:val="0"/>
        <w:tabs>
          <w:tab w:val="left" w:pos="4680"/>
        </w:tabs>
        <w:kinsoku/>
        <w:wordWrap/>
        <w:overflowPunct/>
        <w:topLinePunct w:val="0"/>
        <w:autoSpaceDE/>
        <w:autoSpaceDN/>
        <w:bidi w:val="0"/>
        <w:adjustRightInd/>
        <w:snapToGrid/>
        <w:spacing w:line="560" w:lineRule="exact"/>
        <w:ind w:right="0" w:rightChars="0" w:firstLine="482"/>
        <w:jc w:val="right"/>
        <w:textAlignment w:val="auto"/>
        <w:outlineLvl w:val="9"/>
        <w:rPr>
          <w:rFonts w:hint="eastAsia" w:ascii="宋体" w:hAnsi="宋体" w:cs="宋体" w:eastAsiaTheme="minorEastAsia"/>
          <w:snapToGrid w:val="0"/>
          <w:color w:val="000000"/>
          <w:kern w:val="0"/>
          <w:sz w:val="24"/>
          <w:szCs w:val="24"/>
          <w:lang w:val="en-US" w:eastAsia="zh-CN" w:bidi="ar-SA"/>
        </w:rPr>
      </w:pPr>
      <w:r>
        <w:rPr>
          <w:rFonts w:hint="eastAsia" w:ascii="宋体" w:hAnsi="宋体" w:cs="宋体"/>
          <w:snapToGrid w:val="0"/>
          <w:color w:val="000000"/>
          <w:kern w:val="0"/>
          <w:sz w:val="24"/>
          <w:szCs w:val="24"/>
          <w:lang w:val="en-US" w:eastAsia="zh-CN" w:bidi="ar-SA"/>
        </w:rPr>
        <w:t>2021</w:t>
      </w:r>
      <w:r>
        <w:rPr>
          <w:rFonts w:hint="eastAsia" w:ascii="宋体" w:hAnsi="宋体" w:cs="宋体" w:eastAsiaTheme="minorEastAsia"/>
          <w:snapToGrid w:val="0"/>
          <w:color w:val="000000"/>
          <w:kern w:val="0"/>
          <w:sz w:val="24"/>
          <w:szCs w:val="24"/>
          <w:lang w:val="en-US" w:eastAsia="zh-CN" w:bidi="ar-SA"/>
        </w:rPr>
        <w:t>年</w:t>
      </w:r>
      <w:r>
        <w:rPr>
          <w:rFonts w:hint="eastAsia" w:ascii="宋体" w:hAnsi="宋体" w:cs="宋体"/>
          <w:snapToGrid w:val="0"/>
          <w:color w:val="000000"/>
          <w:kern w:val="0"/>
          <w:sz w:val="24"/>
          <w:szCs w:val="24"/>
          <w:lang w:val="en-US" w:eastAsia="zh-CN" w:bidi="ar-SA"/>
        </w:rPr>
        <w:t>7</w:t>
      </w:r>
      <w:r>
        <w:rPr>
          <w:rFonts w:hint="eastAsia" w:ascii="宋体" w:hAnsi="宋体" w:cs="宋体" w:eastAsiaTheme="minorEastAsia"/>
          <w:snapToGrid w:val="0"/>
          <w:color w:val="000000"/>
          <w:kern w:val="0"/>
          <w:sz w:val="24"/>
          <w:szCs w:val="24"/>
          <w:lang w:val="en-US" w:eastAsia="zh-CN" w:bidi="ar-SA"/>
        </w:rPr>
        <w:t>月</w:t>
      </w:r>
      <w:r>
        <w:rPr>
          <w:rFonts w:hint="eastAsia" w:ascii="宋体" w:hAnsi="宋体" w:cs="宋体"/>
          <w:snapToGrid w:val="0"/>
          <w:color w:val="000000"/>
          <w:kern w:val="0"/>
          <w:sz w:val="24"/>
          <w:szCs w:val="24"/>
          <w:lang w:val="en-US" w:eastAsia="zh-CN" w:bidi="ar-SA"/>
        </w:rPr>
        <w:t>30</w:t>
      </w:r>
      <w:r>
        <w:rPr>
          <w:rFonts w:hint="eastAsia" w:ascii="宋体" w:hAnsi="宋体" w:cs="宋体" w:eastAsiaTheme="minorEastAsia"/>
          <w:snapToGrid w:val="0"/>
          <w:color w:val="000000"/>
          <w:kern w:val="0"/>
          <w:sz w:val="24"/>
          <w:szCs w:val="24"/>
          <w:lang w:val="en-US" w:eastAsia="zh-CN" w:bidi="ar-SA"/>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711B6"/>
    <w:rsid w:val="02E9239D"/>
    <w:rsid w:val="03802FAA"/>
    <w:rsid w:val="05605221"/>
    <w:rsid w:val="07183EFD"/>
    <w:rsid w:val="0B49215B"/>
    <w:rsid w:val="0C1510B5"/>
    <w:rsid w:val="0C323478"/>
    <w:rsid w:val="0C8B726C"/>
    <w:rsid w:val="0CCF11AA"/>
    <w:rsid w:val="0E3837D3"/>
    <w:rsid w:val="106814C6"/>
    <w:rsid w:val="11242915"/>
    <w:rsid w:val="11B2016B"/>
    <w:rsid w:val="11B25936"/>
    <w:rsid w:val="11C26D1D"/>
    <w:rsid w:val="135711B6"/>
    <w:rsid w:val="1C077BB4"/>
    <w:rsid w:val="1D644D34"/>
    <w:rsid w:val="21AF5AE2"/>
    <w:rsid w:val="21D167FF"/>
    <w:rsid w:val="24093C83"/>
    <w:rsid w:val="25140E91"/>
    <w:rsid w:val="2661183B"/>
    <w:rsid w:val="26D66E8E"/>
    <w:rsid w:val="286859B9"/>
    <w:rsid w:val="298433C2"/>
    <w:rsid w:val="29894E55"/>
    <w:rsid w:val="2B4E6124"/>
    <w:rsid w:val="2BC96687"/>
    <w:rsid w:val="2CC17CB9"/>
    <w:rsid w:val="2DBD30F1"/>
    <w:rsid w:val="2DCF4E54"/>
    <w:rsid w:val="2DFB280F"/>
    <w:rsid w:val="2ECA5F7D"/>
    <w:rsid w:val="2F1D4CC3"/>
    <w:rsid w:val="32E50573"/>
    <w:rsid w:val="364879E2"/>
    <w:rsid w:val="387E2BC0"/>
    <w:rsid w:val="3AD010DD"/>
    <w:rsid w:val="3CEB33CD"/>
    <w:rsid w:val="42D84824"/>
    <w:rsid w:val="44FD6564"/>
    <w:rsid w:val="467D421D"/>
    <w:rsid w:val="480B25EE"/>
    <w:rsid w:val="4890330D"/>
    <w:rsid w:val="48D21008"/>
    <w:rsid w:val="4CEB02D2"/>
    <w:rsid w:val="53410626"/>
    <w:rsid w:val="55B1257D"/>
    <w:rsid w:val="5A30331E"/>
    <w:rsid w:val="5B951F4C"/>
    <w:rsid w:val="5E0D378B"/>
    <w:rsid w:val="5EBB0E8D"/>
    <w:rsid w:val="5F1E5AC5"/>
    <w:rsid w:val="602C7E0F"/>
    <w:rsid w:val="60C01E77"/>
    <w:rsid w:val="61140174"/>
    <w:rsid w:val="64CF6463"/>
    <w:rsid w:val="678E1AC9"/>
    <w:rsid w:val="6CE1567F"/>
    <w:rsid w:val="6D84762F"/>
    <w:rsid w:val="70594F33"/>
    <w:rsid w:val="713016CA"/>
    <w:rsid w:val="72662AEE"/>
    <w:rsid w:val="72C82FFA"/>
    <w:rsid w:val="7416122C"/>
    <w:rsid w:val="767203B6"/>
    <w:rsid w:val="782A0984"/>
    <w:rsid w:val="783E0425"/>
    <w:rsid w:val="7CE10643"/>
    <w:rsid w:val="7D917E57"/>
    <w:rsid w:val="7DDA2A9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14">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964" w:firstLineChars="200"/>
    </w:pPr>
    <w:rPr>
      <w:sz w:val="28"/>
    </w:rPr>
  </w:style>
  <w:style w:type="paragraph" w:styleId="5">
    <w:name w:val="Body Text"/>
    <w:basedOn w:val="1"/>
    <w:next w:val="6"/>
    <w:qFormat/>
    <w:uiPriority w:val="0"/>
    <w:pPr>
      <w:spacing w:before="240" w:beforeLines="0" w:after="60" w:afterLines="0"/>
      <w:ind w:firstLine="640" w:firstLineChars="200"/>
      <w:jc w:val="center"/>
      <w:outlineLvl w:val="0"/>
    </w:pPr>
    <w:rPr>
      <w:rFonts w:ascii="仿宋_GB2312" w:hAnsi="仿宋_GB2312" w:cs="仿宋_GB2312"/>
      <w:sz w:val="21"/>
      <w:szCs w:val="32"/>
    </w:rPr>
  </w:style>
  <w:style w:type="paragraph" w:styleId="6">
    <w:name w:val="Title"/>
    <w:basedOn w:val="1"/>
    <w:next w:val="1"/>
    <w:qFormat/>
    <w:uiPriority w:val="0"/>
    <w:pPr>
      <w:widowControl w:val="0"/>
      <w:spacing w:before="240" w:beforeLines="0" w:after="60" w:afterLines="0"/>
      <w:jc w:val="center"/>
      <w:outlineLvl w:val="0"/>
    </w:pPr>
    <w:rPr>
      <w:rFonts w:ascii="Cambria" w:hAnsi="Cambria"/>
      <w:b/>
      <w:bCs/>
      <w:kern w:val="2"/>
      <w:sz w:val="32"/>
      <w:szCs w:val="32"/>
    </w:rPr>
  </w:style>
  <w:style w:type="paragraph" w:styleId="7">
    <w:name w:val="Body Text Indent"/>
    <w:basedOn w:val="1"/>
    <w:qFormat/>
    <w:uiPriority w:val="0"/>
    <w:pPr>
      <w:ind w:left="420" w:leftChars="200"/>
    </w:pPr>
    <w:rPr>
      <w:kern w:val="2"/>
      <w:sz w:val="21"/>
      <w:szCs w:val="24"/>
    </w:rPr>
  </w:style>
  <w:style w:type="paragraph" w:styleId="8">
    <w:name w:val="footer"/>
    <w:basedOn w:val="1"/>
    <w:qFormat/>
    <w:uiPriority w:val="0"/>
    <w:pPr>
      <w:tabs>
        <w:tab w:val="center" w:pos="4153"/>
        <w:tab w:val="right" w:pos="8306"/>
      </w:tabs>
      <w:snapToGrid w:val="0"/>
    </w:pPr>
    <w:rPr>
      <w:sz w:val="18"/>
    </w:rPr>
  </w:style>
  <w:style w:type="paragraph" w:styleId="9">
    <w:name w:val="header"/>
    <w:basedOn w:val="1"/>
    <w:qFormat/>
    <w:uiPriority w:val="0"/>
    <w:pPr>
      <w:pBdr>
        <w:bottom w:val="single" w:color="auto" w:sz="6" w:space="1"/>
      </w:pBdr>
      <w:tabs>
        <w:tab w:val="center" w:pos="4153"/>
        <w:tab w:val="right" w:pos="8306"/>
      </w:tabs>
      <w:snapToGrid w:val="0"/>
      <w:jc w:val="center"/>
    </w:pPr>
    <w:rPr>
      <w:kern w:val="2"/>
      <w:sz w:val="18"/>
      <w:szCs w:val="18"/>
    </w:rPr>
  </w:style>
  <w:style w:type="paragraph" w:styleId="10">
    <w:name w:val="footnote text"/>
    <w:basedOn w:val="1"/>
    <w:qFormat/>
    <w:uiPriority w:val="0"/>
    <w:pPr>
      <w:snapToGrid w:val="0"/>
      <w:jc w:val="left"/>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2">
    <w:name w:val="Body Text First Indent 2"/>
    <w:basedOn w:val="7"/>
    <w:next w:val="1"/>
    <w:qFormat/>
    <w:uiPriority w:val="0"/>
    <w:pPr>
      <w:widowControl w:val="0"/>
      <w:ind w:firstLine="420"/>
      <w:jc w:val="both"/>
    </w:pPr>
    <w:rPr>
      <w:kern w:val="2"/>
      <w:sz w:val="21"/>
      <w:szCs w:val="24"/>
    </w:rPr>
  </w:style>
  <w:style w:type="character" w:styleId="15">
    <w:name w:val="Strong"/>
    <w:basedOn w:val="14"/>
    <w:qFormat/>
    <w:uiPriority w:val="0"/>
    <w:rPr>
      <w:b/>
    </w:rPr>
  </w:style>
  <w:style w:type="character" w:styleId="16">
    <w:name w:val="page number"/>
    <w:basedOn w:val="14"/>
    <w:qFormat/>
    <w:uiPriority w:val="0"/>
  </w:style>
  <w:style w:type="character" w:styleId="17">
    <w:name w:val="FollowedHyperlink"/>
    <w:basedOn w:val="14"/>
    <w:qFormat/>
    <w:uiPriority w:val="0"/>
    <w:rPr>
      <w:rFonts w:hint="eastAsia" w:ascii="宋体" w:hAnsi="宋体" w:eastAsia="宋体" w:cs="宋体"/>
      <w:color w:val="333333"/>
      <w:u w:val="none"/>
    </w:rPr>
  </w:style>
  <w:style w:type="character" w:styleId="18">
    <w:name w:val="Emphasis"/>
    <w:basedOn w:val="14"/>
    <w:qFormat/>
    <w:uiPriority w:val="0"/>
    <w:rPr>
      <w:i/>
    </w:rPr>
  </w:style>
  <w:style w:type="character" w:styleId="19">
    <w:name w:val="Hyperlink"/>
    <w:basedOn w:val="14"/>
    <w:qFormat/>
    <w:uiPriority w:val="0"/>
    <w:rPr>
      <w:rFonts w:hint="eastAsia" w:ascii="宋体" w:hAnsi="宋体" w:eastAsia="宋体" w:cs="宋体"/>
      <w:color w:val="333333"/>
      <w:u w:val="none"/>
    </w:rPr>
  </w:style>
  <w:style w:type="character" w:styleId="20">
    <w:name w:val="HTML Code"/>
    <w:basedOn w:val="14"/>
    <w:qFormat/>
    <w:uiPriority w:val="0"/>
    <w:rPr>
      <w:rFonts w:ascii="Courier New" w:hAnsi="Courier New"/>
      <w:sz w:val="20"/>
    </w:rPr>
  </w:style>
  <w:style w:type="character" w:styleId="21">
    <w:name w:val="HTML Cite"/>
    <w:basedOn w:val="14"/>
    <w:qFormat/>
    <w:uiPriority w:val="0"/>
    <w:rPr>
      <w:i/>
    </w:rPr>
  </w:style>
  <w:style w:type="character" w:customStyle="1" w:styleId="22">
    <w:name w:val="bds_more"/>
    <w:basedOn w:val="14"/>
    <w:qFormat/>
    <w:uiPriority w:val="0"/>
  </w:style>
  <w:style w:type="character" w:customStyle="1" w:styleId="23">
    <w:name w:val="bds_nopic"/>
    <w:basedOn w:val="14"/>
    <w:qFormat/>
    <w:uiPriority w:val="0"/>
  </w:style>
  <w:style w:type="character" w:customStyle="1" w:styleId="24">
    <w:name w:val="bds_nopic1"/>
    <w:basedOn w:val="14"/>
    <w:qFormat/>
    <w:uiPriority w:val="0"/>
  </w:style>
  <w:style w:type="character" w:customStyle="1" w:styleId="25">
    <w:name w:val="bds_nopic2"/>
    <w:basedOn w:val="14"/>
    <w:qFormat/>
    <w:uiPriority w:val="0"/>
  </w:style>
  <w:style w:type="character" w:customStyle="1" w:styleId="26">
    <w:name w:val="current"/>
    <w:basedOn w:val="14"/>
    <w:qFormat/>
    <w:uiPriority w:val="0"/>
    <w:rPr>
      <w:b/>
      <w:color w:val="666666"/>
      <w:bdr w:val="single" w:color="E0E0E0" w:sz="6" w:space="0"/>
      <w:shd w:val="clear" w:fill="F0F0F0"/>
    </w:rPr>
  </w:style>
  <w:style w:type="character" w:customStyle="1" w:styleId="27">
    <w:name w:val="disabled"/>
    <w:basedOn w:val="14"/>
    <w:qFormat/>
    <w:uiPriority w:val="0"/>
    <w:rPr>
      <w:color w:val="CCCCCC"/>
      <w:bdr w:val="single" w:color="DBDADA" w:sz="6" w:space="0"/>
    </w:rPr>
  </w:style>
  <w:style w:type="character" w:customStyle="1" w:styleId="28">
    <w:name w:val="tab_active"/>
    <w:basedOn w:val="14"/>
    <w:qFormat/>
    <w:uiPriority w:val="0"/>
    <w:rPr>
      <w:color w:val="666666"/>
    </w:rPr>
  </w:style>
  <w:style w:type="character" w:customStyle="1" w:styleId="29">
    <w:name w:val="current2"/>
    <w:basedOn w:val="14"/>
    <w:qFormat/>
    <w:uiPriority w:val="0"/>
    <w:rPr>
      <w:b/>
      <w:color w:val="666666"/>
      <w:bdr w:val="single" w:color="E0E0E0" w:sz="6" w:space="0"/>
      <w:shd w:val="clear" w:fill="F0F0F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2017-02-24T02:28:00Z</dcterms:created>
  <dc:creator>lenovo</dc:creator>
  <cp:lastModifiedBy>嘤嘤嘤^^</cp:lastModifiedBy>
  <dcterms:modified xsi:type="dcterms:W3CDTF">2021-08-31T07:19:31Z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94D68A1A2BAA4D88B8E1D5E94F87C7FD</vt:lpwstr>
  </property>
</Properties>
</file>