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jc w:val="center"/>
        <w:rPr>
          <w:rFonts w:hint="eastAsia" w:ascii="宋体" w:hAnsi="宋体" w:eastAsia="宋体" w:cs="宋体"/>
          <w:sz w:val="28"/>
          <w:szCs w:val="28"/>
          <w:u w:val="none"/>
        </w:rPr>
      </w:pPr>
      <w:r>
        <w:rPr>
          <w:rFonts w:hint="eastAsia" w:ascii="宋体" w:hAnsi="宋体" w:eastAsia="宋体" w:cs="宋体"/>
          <w:b/>
          <w:i w:val="0"/>
          <w:caps w:val="0"/>
          <w:color w:val="4C5157"/>
          <w:spacing w:val="0"/>
          <w:sz w:val="36"/>
          <w:szCs w:val="36"/>
          <w:u w:val="none"/>
          <w:bdr w:val="none" w:color="auto" w:sz="0" w:space="0"/>
        </w:rPr>
        <w:t>海南省人民政府关于印发海南省</w:t>
      </w:r>
      <w:r>
        <w:rPr>
          <w:rFonts w:hint="eastAsia" w:ascii="宋体" w:hAnsi="宋体" w:eastAsia="宋体" w:cs="宋体"/>
          <w:b/>
          <w:i w:val="0"/>
          <w:caps w:val="0"/>
          <w:color w:val="4C5157"/>
          <w:spacing w:val="0"/>
          <w:sz w:val="36"/>
          <w:szCs w:val="36"/>
          <w:u w:val="none"/>
          <w:bdr w:val="none" w:color="auto" w:sz="0" w:space="0"/>
        </w:rPr>
        <w:br w:type="textWrapping"/>
      </w:r>
      <w:r>
        <w:rPr>
          <w:rFonts w:hint="eastAsia" w:ascii="宋体" w:hAnsi="宋体" w:eastAsia="宋体" w:cs="宋体"/>
          <w:b/>
          <w:i w:val="0"/>
          <w:caps w:val="0"/>
          <w:color w:val="4C5157"/>
          <w:spacing w:val="0"/>
          <w:sz w:val="36"/>
          <w:szCs w:val="36"/>
          <w:u w:val="none"/>
          <w:bdr w:val="none" w:color="auto" w:sz="0" w:space="0"/>
        </w:rPr>
        <w:t>耕地开垦费收缴使用管理办法的通知</w:t>
      </w:r>
      <w:r>
        <w:rPr>
          <w:rFonts w:hint="eastAsia" w:ascii="宋体" w:hAnsi="宋体" w:eastAsia="宋体" w:cs="宋体"/>
          <w:i w:val="0"/>
          <w:caps w:val="0"/>
          <w:color w:val="4C5157"/>
          <w:spacing w:val="0"/>
          <w:sz w:val="28"/>
          <w:szCs w:val="28"/>
          <w:u w:val="none"/>
          <w:bdr w:val="none" w:color="auto" w:sz="0" w:space="0"/>
        </w:rPr>
        <w:br w:type="textWrapping"/>
      </w:r>
      <w:r>
        <w:rPr>
          <w:rFonts w:hint="eastAsia" w:ascii="宋体" w:hAnsi="宋体" w:eastAsia="宋体" w:cs="宋体"/>
          <w:i w:val="0"/>
          <w:caps w:val="0"/>
          <w:color w:val="4C5157"/>
          <w:spacing w:val="0"/>
          <w:sz w:val="28"/>
          <w:szCs w:val="28"/>
          <w:u w:val="none"/>
          <w:bdr w:val="none" w:color="auto" w:sz="0" w:space="0"/>
        </w:rPr>
        <w:t>琼府〔2021〕13号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both"/>
        <w:rPr>
          <w:rFonts w:hint="eastAsia" w:ascii="宋体" w:hAnsi="宋体" w:eastAsia="宋体" w:cs="宋体"/>
          <w:sz w:val="28"/>
          <w:szCs w:val="28"/>
          <w:u w:val="none"/>
        </w:rPr>
      </w:pPr>
      <w:r>
        <w:rPr>
          <w:rFonts w:hint="eastAsia" w:ascii="宋体" w:hAnsi="宋体" w:eastAsia="宋体" w:cs="宋体"/>
          <w:i w:val="0"/>
          <w:caps w:val="0"/>
          <w:color w:val="4C5157"/>
          <w:spacing w:val="0"/>
          <w:sz w:val="28"/>
          <w:szCs w:val="28"/>
          <w:u w:val="none"/>
          <w:bdr w:val="none" w:color="auto" w:sz="0" w:space="0"/>
        </w:rPr>
        <w:t>各市、县、自治县人民政府，省政府直属各单位：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r>
        <w:rPr>
          <w:rFonts w:hint="eastAsia" w:ascii="宋体" w:hAnsi="宋体" w:eastAsia="宋体" w:cs="宋体"/>
          <w:i w:val="0"/>
          <w:caps w:val="0"/>
          <w:color w:val="4C5157"/>
          <w:spacing w:val="0"/>
          <w:sz w:val="28"/>
          <w:szCs w:val="28"/>
          <w:u w:val="none"/>
          <w:bdr w:val="none" w:color="auto" w:sz="0" w:space="0"/>
        </w:rPr>
        <w:t>《海南省耕地开垦费收缴使用管理办法》已经七届省政府第68次常务会议审议通过，现印发给你们，请认真贯彻执行。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jc w:val="right"/>
        <w:rPr>
          <w:rFonts w:hint="eastAsia" w:ascii="宋体" w:hAnsi="宋体" w:eastAsia="宋体" w:cs="宋体"/>
          <w:sz w:val="28"/>
          <w:szCs w:val="28"/>
          <w:u w:val="none"/>
        </w:rPr>
      </w:pPr>
      <w:r>
        <w:rPr>
          <w:rFonts w:hint="eastAsia" w:ascii="宋体" w:hAnsi="宋体" w:eastAsia="宋体" w:cs="宋体"/>
          <w:i w:val="0"/>
          <w:caps w:val="0"/>
          <w:color w:val="4C5157"/>
          <w:spacing w:val="0"/>
          <w:sz w:val="28"/>
          <w:szCs w:val="28"/>
          <w:u w:val="none"/>
          <w:bdr w:val="none" w:color="auto" w:sz="0" w:space="0"/>
        </w:rPr>
        <w:t>海南省人民政府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jc w:val="right"/>
        <w:rPr>
          <w:rFonts w:hint="eastAsia" w:ascii="宋体" w:hAnsi="宋体" w:eastAsia="宋体" w:cs="宋体"/>
          <w:sz w:val="28"/>
          <w:szCs w:val="28"/>
          <w:u w:val="none"/>
        </w:rPr>
      </w:pPr>
      <w:r>
        <w:rPr>
          <w:rFonts w:hint="eastAsia" w:ascii="宋体" w:hAnsi="宋体" w:eastAsia="宋体" w:cs="宋体"/>
          <w:i w:val="0"/>
          <w:caps w:val="0"/>
          <w:color w:val="4C5157"/>
          <w:spacing w:val="0"/>
          <w:sz w:val="28"/>
          <w:szCs w:val="28"/>
          <w:u w:val="none"/>
          <w:bdr w:val="none" w:color="auto" w:sz="0" w:space="0"/>
        </w:rPr>
        <w:t>2021年3月22日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r>
        <w:rPr>
          <w:rFonts w:hint="eastAsia" w:ascii="宋体" w:hAnsi="宋体" w:eastAsia="宋体" w:cs="宋体"/>
          <w:i w:val="0"/>
          <w:caps w:val="0"/>
          <w:color w:val="4C5157"/>
          <w:spacing w:val="0"/>
          <w:sz w:val="28"/>
          <w:szCs w:val="28"/>
          <w:u w:val="none"/>
          <w:bdr w:val="none" w:color="auto" w:sz="0" w:space="0"/>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jc w:val="center"/>
        <w:rPr>
          <w:rFonts w:hint="eastAsia" w:ascii="宋体" w:hAnsi="宋体" w:eastAsia="宋体" w:cs="宋体"/>
          <w:sz w:val="36"/>
          <w:szCs w:val="36"/>
          <w:u w:val="none"/>
        </w:rPr>
      </w:pPr>
      <w:r>
        <w:rPr>
          <w:rFonts w:hint="eastAsia" w:ascii="宋体" w:hAnsi="宋体" w:eastAsia="宋体" w:cs="宋体"/>
          <w:b/>
          <w:i w:val="0"/>
          <w:caps w:val="0"/>
          <w:color w:val="4C5157"/>
          <w:spacing w:val="0"/>
          <w:sz w:val="36"/>
          <w:szCs w:val="36"/>
          <w:u w:val="none"/>
          <w:bdr w:val="none" w:color="auto" w:sz="0" w:space="0"/>
        </w:rPr>
        <w:t>海南省耕地开垦费收缴使用管理办法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r>
        <w:rPr>
          <w:rFonts w:hint="eastAsia" w:ascii="宋体" w:hAnsi="宋体" w:eastAsia="宋体" w:cs="宋体"/>
          <w:b/>
          <w:i w:val="0"/>
          <w:caps w:val="0"/>
          <w:color w:val="4C5157"/>
          <w:spacing w:val="0"/>
          <w:sz w:val="28"/>
          <w:szCs w:val="28"/>
          <w:u w:val="none"/>
          <w:bdr w:val="none" w:color="auto" w:sz="0" w:space="0"/>
        </w:rPr>
        <w:t>第一条</w:t>
      </w:r>
      <w:r>
        <w:rPr>
          <w:rFonts w:hint="eastAsia" w:ascii="宋体" w:hAnsi="宋体" w:eastAsia="宋体" w:cs="宋体"/>
          <w:i w:val="0"/>
          <w:caps w:val="0"/>
          <w:color w:val="4C5157"/>
          <w:spacing w:val="0"/>
          <w:sz w:val="28"/>
          <w:szCs w:val="28"/>
          <w:u w:val="none"/>
          <w:bdr w:val="none" w:color="auto" w:sz="0" w:space="0"/>
        </w:rPr>
        <w:t> 为了加强耕地开垦费的收缴和使用管理，确保我省耕地总量动态平衡，根据《中华人民共和国土地管理法》《中共中央 国务院关于加强耕地保护和改进占补平衡的意见》和《海南经济特区土地管理条例》等相关法律法规和规定，结合我省实际，制定本办法。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r>
        <w:rPr>
          <w:rFonts w:hint="eastAsia" w:ascii="宋体" w:hAnsi="宋体" w:eastAsia="宋体" w:cs="宋体"/>
          <w:b/>
          <w:i w:val="0"/>
          <w:caps w:val="0"/>
          <w:color w:val="4C5157"/>
          <w:spacing w:val="0"/>
          <w:sz w:val="28"/>
          <w:szCs w:val="28"/>
          <w:u w:val="none"/>
          <w:bdr w:val="none" w:color="auto" w:sz="0" w:space="0"/>
        </w:rPr>
        <w:t>第二条</w:t>
      </w:r>
      <w:r>
        <w:rPr>
          <w:rFonts w:hint="eastAsia" w:ascii="宋体" w:hAnsi="宋体" w:eastAsia="宋体" w:cs="宋体"/>
          <w:i w:val="0"/>
          <w:caps w:val="0"/>
          <w:color w:val="4C5157"/>
          <w:spacing w:val="0"/>
          <w:sz w:val="28"/>
          <w:szCs w:val="28"/>
          <w:u w:val="none"/>
          <w:bdr w:val="none" w:color="auto" w:sz="0" w:space="0"/>
        </w:rPr>
        <w:t> 本办法适用于本省行政区域内耕地开垦费的收缴和使用管理。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r>
        <w:rPr>
          <w:rFonts w:hint="eastAsia" w:ascii="宋体" w:hAnsi="宋体" w:eastAsia="宋体" w:cs="宋体"/>
          <w:b/>
          <w:i w:val="0"/>
          <w:caps w:val="0"/>
          <w:color w:val="4C5157"/>
          <w:spacing w:val="0"/>
          <w:sz w:val="28"/>
          <w:szCs w:val="28"/>
          <w:u w:val="none"/>
          <w:bdr w:val="none" w:color="auto" w:sz="0" w:space="0"/>
        </w:rPr>
        <w:t>第三条</w:t>
      </w:r>
      <w:r>
        <w:rPr>
          <w:rFonts w:hint="eastAsia" w:ascii="宋体" w:hAnsi="宋体" w:eastAsia="宋体" w:cs="宋体"/>
          <w:i w:val="0"/>
          <w:caps w:val="0"/>
          <w:color w:val="4C5157"/>
          <w:spacing w:val="0"/>
          <w:sz w:val="28"/>
          <w:szCs w:val="28"/>
          <w:u w:val="none"/>
          <w:bdr w:val="none" w:color="auto" w:sz="0" w:space="0"/>
        </w:rPr>
        <w:t> 非农业建设经批准占用耕地的，建设单位应当按照“占一补一、占优补优、占水田补水田”原则，依法履行补充耕地义务。没有条件开垦或开垦的耕地不符合要求的，应按本办法足额缴纳耕地开垦费。建设单位应将耕地开垦费作为建设用地成本列入建设项目总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r>
        <w:rPr>
          <w:rFonts w:hint="eastAsia" w:ascii="宋体" w:hAnsi="宋体" w:eastAsia="宋体" w:cs="宋体"/>
          <w:i w:val="0"/>
          <w:caps w:val="0"/>
          <w:color w:val="4C5157"/>
          <w:spacing w:val="0"/>
          <w:sz w:val="28"/>
          <w:szCs w:val="28"/>
          <w:u w:val="none"/>
          <w:bdr w:val="none" w:color="auto" w:sz="0" w:space="0"/>
        </w:rPr>
        <w:t>补充耕地不能实现“占水田补水田”或粮食产能要求的，可采取耕地提质改造方式落实耕地占补平衡。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r>
        <w:rPr>
          <w:rFonts w:hint="eastAsia" w:ascii="宋体" w:hAnsi="宋体" w:eastAsia="宋体" w:cs="宋体"/>
          <w:b/>
          <w:i w:val="0"/>
          <w:caps w:val="0"/>
          <w:color w:val="4C5157"/>
          <w:spacing w:val="0"/>
          <w:sz w:val="28"/>
          <w:szCs w:val="28"/>
          <w:u w:val="none"/>
          <w:bdr w:val="none" w:color="auto" w:sz="0" w:space="0"/>
        </w:rPr>
        <w:t>第四条</w:t>
      </w:r>
      <w:r>
        <w:rPr>
          <w:rFonts w:hint="eastAsia" w:ascii="宋体" w:hAnsi="宋体" w:eastAsia="宋体" w:cs="宋体"/>
          <w:i w:val="0"/>
          <w:caps w:val="0"/>
          <w:color w:val="4C5157"/>
          <w:spacing w:val="0"/>
          <w:sz w:val="28"/>
          <w:szCs w:val="28"/>
          <w:u w:val="none"/>
          <w:bdr w:val="none" w:color="auto" w:sz="0" w:space="0"/>
        </w:rPr>
        <w:t> 实行差别化的耕地开垦费标准，根据各市县经济发展水平、主体功能区定位、耕地质量等别等因素，将全省划分为3个区域等级。具体地块的耕地开垦费按照建设项目占用一般耕地和永久基本农田及地类、耕地质量等别等因素确定收缴标准(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r>
        <w:rPr>
          <w:rFonts w:hint="eastAsia" w:ascii="宋体" w:hAnsi="宋体" w:eastAsia="宋体" w:cs="宋体"/>
          <w:b/>
          <w:i w:val="0"/>
          <w:caps w:val="0"/>
          <w:color w:val="4C5157"/>
          <w:spacing w:val="0"/>
          <w:sz w:val="28"/>
          <w:szCs w:val="28"/>
          <w:u w:val="none"/>
          <w:bdr w:val="none" w:color="auto" w:sz="0" w:space="0"/>
        </w:rPr>
        <w:t>第五条 </w:t>
      </w:r>
      <w:r>
        <w:rPr>
          <w:rFonts w:hint="eastAsia" w:ascii="宋体" w:hAnsi="宋体" w:eastAsia="宋体" w:cs="宋体"/>
          <w:i w:val="0"/>
          <w:caps w:val="0"/>
          <w:color w:val="4C5157"/>
          <w:spacing w:val="0"/>
          <w:sz w:val="28"/>
          <w:szCs w:val="28"/>
          <w:u w:val="none"/>
          <w:bdr w:val="none" w:color="auto" w:sz="0" w:space="0"/>
        </w:rPr>
        <w:t>耕地开垦费由经批准占用耕地的单位缴纳，其中对拟以划拨方式供应的项目用地，如项目建设用地单位无法自行补充数量和质量相当耕地的，耕地开垦费由项目建设用地单位缴纳;拟以招标、拍卖、挂牌或协议方式供应的项目用地，由市县财政安排资金代缴，并纳入土地供应成本;农村集体经营性项目用地，由农村集体经济组织缴交或由市县财政安排资金代缴。耕地开垦费在农用地转用审批事项依法批准后按规定标准一次性缴纳，未按规定足额缴纳耕地开垦费的，不得下达农用地转用批复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r>
        <w:rPr>
          <w:rFonts w:hint="eastAsia" w:ascii="宋体" w:hAnsi="宋体" w:eastAsia="宋体" w:cs="宋体"/>
          <w:i w:val="0"/>
          <w:caps w:val="0"/>
          <w:color w:val="4C5157"/>
          <w:spacing w:val="0"/>
          <w:sz w:val="28"/>
          <w:szCs w:val="28"/>
          <w:u w:val="none"/>
          <w:bdr w:val="none" w:color="auto" w:sz="0" w:space="0"/>
        </w:rPr>
        <w:t>耕地开垦费由自然资源和规划主管部门征收。跨市县行政区域的交通、能源、水利等重点基础设施建设项目，建设单位应当按项目占用所在市县行政区域内的耕地面积及收缴标准缴纳耕地开垦费。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r>
        <w:rPr>
          <w:rFonts w:hint="eastAsia" w:ascii="宋体" w:hAnsi="宋体" w:eastAsia="宋体" w:cs="宋体"/>
          <w:b/>
          <w:i w:val="0"/>
          <w:caps w:val="0"/>
          <w:color w:val="4C5157"/>
          <w:spacing w:val="0"/>
          <w:sz w:val="28"/>
          <w:szCs w:val="28"/>
          <w:u w:val="none"/>
          <w:bdr w:val="none" w:color="auto" w:sz="0" w:space="0"/>
        </w:rPr>
        <w:t>第六条</w:t>
      </w:r>
      <w:r>
        <w:rPr>
          <w:rFonts w:hint="eastAsia" w:ascii="宋体" w:hAnsi="宋体" w:eastAsia="宋体" w:cs="宋体"/>
          <w:i w:val="0"/>
          <w:caps w:val="0"/>
          <w:color w:val="4C5157"/>
          <w:spacing w:val="0"/>
          <w:sz w:val="28"/>
          <w:szCs w:val="28"/>
          <w:u w:val="none"/>
          <w:bdr w:val="none" w:color="auto" w:sz="0" w:space="0"/>
        </w:rPr>
        <w:t> 耕地开垦费属于行政事业性收费，应及时足额缴入同级财政国库，纳入财政预算，实行收支两条线管理。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r>
        <w:rPr>
          <w:rFonts w:hint="eastAsia" w:ascii="宋体" w:hAnsi="宋体" w:eastAsia="宋体" w:cs="宋体"/>
          <w:i w:val="0"/>
          <w:caps w:val="0"/>
          <w:color w:val="4C5157"/>
          <w:spacing w:val="0"/>
          <w:sz w:val="28"/>
          <w:szCs w:val="28"/>
          <w:u w:val="none"/>
          <w:bdr w:val="none" w:color="auto" w:sz="0" w:space="0"/>
        </w:rPr>
        <w:t>自然资源和规划主管部门征收耕地开垦费的方式按照省财政部门的规定办理。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r>
        <w:rPr>
          <w:rFonts w:hint="eastAsia" w:ascii="宋体" w:hAnsi="宋体" w:eastAsia="宋体" w:cs="宋体"/>
          <w:b/>
          <w:i w:val="0"/>
          <w:caps w:val="0"/>
          <w:color w:val="4C5157"/>
          <w:spacing w:val="0"/>
          <w:sz w:val="28"/>
          <w:szCs w:val="28"/>
          <w:u w:val="none"/>
          <w:bdr w:val="none" w:color="auto" w:sz="0" w:space="0"/>
        </w:rPr>
        <w:t>第七条</w:t>
      </w:r>
      <w:r>
        <w:rPr>
          <w:rFonts w:hint="eastAsia" w:ascii="宋体" w:hAnsi="宋体" w:eastAsia="宋体" w:cs="宋体"/>
          <w:i w:val="0"/>
          <w:caps w:val="0"/>
          <w:color w:val="4C5157"/>
          <w:spacing w:val="0"/>
          <w:sz w:val="28"/>
          <w:szCs w:val="28"/>
          <w:u w:val="none"/>
          <w:bdr w:val="none" w:color="auto" w:sz="0" w:space="0"/>
        </w:rPr>
        <w:t> 耕地开垦费支出按规定由同级财政部门通过预算统筹安排，资金拨付按照财政国库管理制度有关规定执行。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r>
        <w:rPr>
          <w:rFonts w:hint="eastAsia" w:ascii="宋体" w:hAnsi="宋体" w:eastAsia="宋体" w:cs="宋体"/>
          <w:b/>
          <w:i w:val="0"/>
          <w:caps w:val="0"/>
          <w:color w:val="4C5157"/>
          <w:spacing w:val="0"/>
          <w:sz w:val="28"/>
          <w:szCs w:val="28"/>
          <w:u w:val="none"/>
          <w:bdr w:val="none" w:color="auto" w:sz="0" w:space="0"/>
        </w:rPr>
        <w:t>第八条</w:t>
      </w:r>
      <w:r>
        <w:rPr>
          <w:rFonts w:hint="eastAsia" w:ascii="宋体" w:hAnsi="宋体" w:eastAsia="宋体" w:cs="宋体"/>
          <w:i w:val="0"/>
          <w:caps w:val="0"/>
          <w:color w:val="4C5157"/>
          <w:spacing w:val="0"/>
          <w:sz w:val="28"/>
          <w:szCs w:val="28"/>
          <w:u w:val="none"/>
          <w:bdr w:val="none" w:color="auto" w:sz="0" w:space="0"/>
        </w:rPr>
        <w:t> 省自然资源和规划主管部门应依据国土空间规划、补充耕地规划、高标准农田建设规划和国家、省重大项目建设用地需求，结合各市县耕地后备资源状况，编制下达市县年度补充耕地计划。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r>
        <w:rPr>
          <w:rFonts w:hint="eastAsia" w:ascii="宋体" w:hAnsi="宋体" w:eastAsia="宋体" w:cs="宋体"/>
          <w:b/>
          <w:i w:val="0"/>
          <w:caps w:val="0"/>
          <w:color w:val="4C5157"/>
          <w:spacing w:val="0"/>
          <w:sz w:val="28"/>
          <w:szCs w:val="28"/>
          <w:u w:val="none"/>
          <w:bdr w:val="none" w:color="auto" w:sz="0" w:space="0"/>
        </w:rPr>
        <w:t>第九条</w:t>
      </w:r>
      <w:r>
        <w:rPr>
          <w:rFonts w:hint="eastAsia" w:ascii="宋体" w:hAnsi="宋体" w:eastAsia="宋体" w:cs="宋体"/>
          <w:i w:val="0"/>
          <w:caps w:val="0"/>
          <w:color w:val="4C5157"/>
          <w:spacing w:val="0"/>
          <w:sz w:val="28"/>
          <w:szCs w:val="28"/>
          <w:u w:val="none"/>
          <w:bdr w:val="none" w:color="auto" w:sz="0" w:space="0"/>
        </w:rPr>
        <w:t> 鼓励和支持非农项目建设单位投资或参与土地综合整治项目建设自行补充耕地。非农建设占用耕地的建设单位通过实施土地整治补充耕地或通过交易平台受让、购买耕地指标，在办理农用地转用审批手续前，能够自行补充所占耕地数量、质量相当的耕地，所补充耕地符合“占一补一、占优补优、占水田补水田”要求的，不再缴纳耕地开垦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r>
        <w:rPr>
          <w:rFonts w:hint="eastAsia" w:ascii="宋体" w:hAnsi="宋体" w:eastAsia="宋体" w:cs="宋体"/>
          <w:b/>
          <w:i w:val="0"/>
          <w:caps w:val="0"/>
          <w:color w:val="4C5157"/>
          <w:spacing w:val="0"/>
          <w:sz w:val="28"/>
          <w:szCs w:val="28"/>
          <w:u w:val="none"/>
          <w:bdr w:val="none" w:color="auto" w:sz="0" w:space="0"/>
        </w:rPr>
        <w:t>第十条</w:t>
      </w:r>
      <w:r>
        <w:rPr>
          <w:rFonts w:hint="eastAsia" w:ascii="宋体" w:hAnsi="宋体" w:eastAsia="宋体" w:cs="宋体"/>
          <w:i w:val="0"/>
          <w:caps w:val="0"/>
          <w:color w:val="4C5157"/>
          <w:spacing w:val="0"/>
          <w:sz w:val="28"/>
          <w:szCs w:val="28"/>
          <w:u w:val="none"/>
          <w:bdr w:val="none" w:color="auto" w:sz="0" w:space="0"/>
        </w:rPr>
        <w:t> 农村村民住宅建设合法占用耕地的，由市县人民政府通过储备补充耕地指标、实施土地整治补充耕地和旱地提质改造水田等多种途径落实占补平衡，不得向农民收取耕地开垦费。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r>
        <w:rPr>
          <w:rFonts w:hint="eastAsia" w:ascii="宋体" w:hAnsi="宋体" w:eastAsia="宋体" w:cs="宋体"/>
          <w:b/>
          <w:i w:val="0"/>
          <w:caps w:val="0"/>
          <w:color w:val="4C5157"/>
          <w:spacing w:val="0"/>
          <w:sz w:val="28"/>
          <w:szCs w:val="28"/>
          <w:u w:val="none"/>
          <w:bdr w:val="none" w:color="auto" w:sz="0" w:space="0"/>
        </w:rPr>
        <w:t>第十一条</w:t>
      </w:r>
      <w:r>
        <w:rPr>
          <w:rFonts w:hint="eastAsia" w:ascii="宋体" w:hAnsi="宋体" w:eastAsia="宋体" w:cs="宋体"/>
          <w:i w:val="0"/>
          <w:caps w:val="0"/>
          <w:color w:val="4C5157"/>
          <w:spacing w:val="0"/>
          <w:sz w:val="28"/>
          <w:szCs w:val="28"/>
          <w:u w:val="none"/>
          <w:bdr w:val="none" w:color="auto" w:sz="0" w:space="0"/>
        </w:rPr>
        <w:t> 实施补充耕地项目建设必须符合市县国土空间规划和其他相关专项规划。严禁违反规划毁林开垦耕地，违规填海、填湖、填湿地垦造耕地。严禁违背农业生产和水资源客观条件，将不适宜改造的旱地强行改造为水田。严禁违背农民意愿，强行实施旱地改水田土地整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r>
        <w:rPr>
          <w:rFonts w:hint="eastAsia" w:ascii="宋体" w:hAnsi="宋体" w:eastAsia="宋体" w:cs="宋体"/>
          <w:b/>
          <w:i w:val="0"/>
          <w:caps w:val="0"/>
          <w:color w:val="4C5157"/>
          <w:spacing w:val="0"/>
          <w:sz w:val="28"/>
          <w:szCs w:val="28"/>
          <w:u w:val="none"/>
          <w:bdr w:val="none" w:color="auto" w:sz="0" w:space="0"/>
        </w:rPr>
        <w:t>第十二条</w:t>
      </w:r>
      <w:r>
        <w:rPr>
          <w:rFonts w:hint="eastAsia" w:ascii="宋体" w:hAnsi="宋体" w:eastAsia="宋体" w:cs="宋体"/>
          <w:i w:val="0"/>
          <w:caps w:val="0"/>
          <w:color w:val="4C5157"/>
          <w:spacing w:val="0"/>
          <w:sz w:val="28"/>
          <w:szCs w:val="28"/>
          <w:u w:val="none"/>
          <w:bdr w:val="none" w:color="auto" w:sz="0" w:space="0"/>
        </w:rPr>
        <w:t> 各市县自然资源和规划主管部门应建立耕地开垦费收缴台账和补充耕地项目台账，收缴台账应载明建设用地名称，用地单位，占用耕地数量、类型、质量等别，耕地开垦费缴纳标准、缴交数额等;补充耕地项目台账应载明项目名称，投资总额，建设规模，新增耕地数量、类型、质量等别，竣工时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r>
        <w:rPr>
          <w:rFonts w:hint="eastAsia" w:ascii="宋体" w:hAnsi="宋体" w:eastAsia="宋体" w:cs="宋体"/>
          <w:b/>
          <w:i w:val="0"/>
          <w:caps w:val="0"/>
          <w:color w:val="4C5157"/>
          <w:spacing w:val="0"/>
          <w:sz w:val="28"/>
          <w:szCs w:val="28"/>
          <w:u w:val="none"/>
          <w:bdr w:val="none" w:color="auto" w:sz="0" w:space="0"/>
        </w:rPr>
        <w:t>第十三条</w:t>
      </w:r>
      <w:r>
        <w:rPr>
          <w:rFonts w:hint="eastAsia" w:ascii="宋体" w:hAnsi="宋体" w:eastAsia="宋体" w:cs="宋体"/>
          <w:i w:val="0"/>
          <w:caps w:val="0"/>
          <w:color w:val="4C5157"/>
          <w:spacing w:val="0"/>
          <w:sz w:val="28"/>
          <w:szCs w:val="28"/>
          <w:u w:val="none"/>
          <w:bdr w:val="none" w:color="auto" w:sz="0" w:space="0"/>
        </w:rPr>
        <w:t> 全省各级自然资源和规划主管部门、财政部门、审计部门、市场监管部门应按照部门职责，加强耕地开垦费收缴、使用的管理和监督检查。自然资源和规划主管部门负责耕地开垦费的征收和使用管理;财政部门负责耕地开垦费的收缴和支出管理;审计部门负责耕地开垦费使用绩效的监督检查;市场监管部门负责对国家机关和事业单位违法违规收费的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r>
        <w:rPr>
          <w:rFonts w:hint="eastAsia" w:ascii="宋体" w:hAnsi="宋体" w:eastAsia="宋体" w:cs="宋体"/>
          <w:b/>
          <w:i w:val="0"/>
          <w:caps w:val="0"/>
          <w:color w:val="4C5157"/>
          <w:spacing w:val="0"/>
          <w:sz w:val="28"/>
          <w:szCs w:val="28"/>
          <w:u w:val="none"/>
          <w:bdr w:val="none" w:color="auto" w:sz="0" w:space="0"/>
        </w:rPr>
        <w:t>第十四条</w:t>
      </w:r>
      <w:r>
        <w:rPr>
          <w:rFonts w:hint="eastAsia" w:ascii="宋体" w:hAnsi="宋体" w:eastAsia="宋体" w:cs="宋体"/>
          <w:i w:val="0"/>
          <w:caps w:val="0"/>
          <w:color w:val="4C5157"/>
          <w:spacing w:val="0"/>
          <w:sz w:val="28"/>
          <w:szCs w:val="28"/>
          <w:u w:val="none"/>
          <w:bdr w:val="none" w:color="auto" w:sz="0" w:space="0"/>
        </w:rPr>
        <w:t> 各市县人民政府和有关部门应严把新增耕地认定审查关，严格按照新增耕地认定的要求进行审核、验收、确认和报备。对重复立项、重复投资、虚假包装项目，弄虚作假，虚增耕地指标的，已报备的耕地指标无效，并按有关规定追究相关责任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r>
        <w:rPr>
          <w:rFonts w:hint="eastAsia" w:ascii="宋体" w:hAnsi="宋体" w:eastAsia="宋体" w:cs="宋体"/>
          <w:b/>
          <w:i w:val="0"/>
          <w:caps w:val="0"/>
          <w:color w:val="4C5157"/>
          <w:spacing w:val="0"/>
          <w:sz w:val="28"/>
          <w:szCs w:val="28"/>
          <w:u w:val="none"/>
          <w:bdr w:val="none" w:color="auto" w:sz="0" w:space="0"/>
        </w:rPr>
        <w:t>第十五条</w:t>
      </w:r>
      <w:r>
        <w:rPr>
          <w:rFonts w:hint="eastAsia" w:ascii="宋体" w:hAnsi="宋体" w:eastAsia="宋体" w:cs="宋体"/>
          <w:i w:val="0"/>
          <w:caps w:val="0"/>
          <w:color w:val="4C5157"/>
          <w:spacing w:val="0"/>
          <w:sz w:val="28"/>
          <w:szCs w:val="28"/>
          <w:u w:val="none"/>
          <w:bdr w:val="none" w:color="auto" w:sz="0" w:space="0"/>
        </w:rPr>
        <w:t> 除法律、法规和规章另有规定外，任何单位和个人一律不得减免耕地开垦费。擅自批准减免的，其批准文件无效，同时追究负有责任的领导人员和直接责任人员的责任。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r>
        <w:rPr>
          <w:rFonts w:hint="eastAsia" w:ascii="宋体" w:hAnsi="宋体" w:eastAsia="宋体" w:cs="宋体"/>
          <w:b/>
          <w:i w:val="0"/>
          <w:caps w:val="0"/>
          <w:color w:val="4C5157"/>
          <w:spacing w:val="0"/>
          <w:sz w:val="28"/>
          <w:szCs w:val="28"/>
          <w:u w:val="none"/>
          <w:bdr w:val="none" w:color="auto" w:sz="0" w:space="0"/>
        </w:rPr>
        <w:t>第十六条</w:t>
      </w:r>
      <w:r>
        <w:rPr>
          <w:rFonts w:hint="eastAsia" w:ascii="宋体" w:hAnsi="宋体" w:eastAsia="宋体" w:cs="宋体"/>
          <w:i w:val="0"/>
          <w:caps w:val="0"/>
          <w:color w:val="4C5157"/>
          <w:spacing w:val="0"/>
          <w:sz w:val="28"/>
          <w:szCs w:val="28"/>
          <w:u w:val="none"/>
          <w:bdr w:val="none" w:color="auto" w:sz="0" w:space="0"/>
        </w:rPr>
        <w:t> 贪污、挤占、截留、挪用耕地开垦费的，按国家有关规定处理。涉嫌犯罪的，移送司法机关依法追究刑事责任。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r>
        <w:rPr>
          <w:rFonts w:hint="eastAsia" w:ascii="宋体" w:hAnsi="宋体" w:eastAsia="宋体" w:cs="宋体"/>
          <w:b/>
          <w:i w:val="0"/>
          <w:caps w:val="0"/>
          <w:color w:val="4C5157"/>
          <w:spacing w:val="0"/>
          <w:sz w:val="28"/>
          <w:szCs w:val="28"/>
          <w:u w:val="none"/>
          <w:bdr w:val="none" w:color="auto" w:sz="0" w:space="0"/>
        </w:rPr>
        <w:t>第十七条 </w:t>
      </w:r>
      <w:r>
        <w:rPr>
          <w:rFonts w:hint="eastAsia" w:ascii="宋体" w:hAnsi="宋体" w:eastAsia="宋体" w:cs="宋体"/>
          <w:i w:val="0"/>
          <w:caps w:val="0"/>
          <w:color w:val="4C5157"/>
          <w:spacing w:val="0"/>
          <w:sz w:val="28"/>
          <w:szCs w:val="28"/>
          <w:u w:val="none"/>
          <w:bdr w:val="none" w:color="auto" w:sz="0" w:space="0"/>
        </w:rPr>
        <w:t>省人民政府下放或者委托实施省级行政审批事项的洋浦经济开发区管委会参照本办法有关规定执行。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r>
        <w:rPr>
          <w:rFonts w:hint="eastAsia" w:ascii="宋体" w:hAnsi="宋体" w:eastAsia="宋体" w:cs="宋体"/>
          <w:b/>
          <w:i w:val="0"/>
          <w:caps w:val="0"/>
          <w:color w:val="4C5157"/>
          <w:spacing w:val="0"/>
          <w:sz w:val="28"/>
          <w:szCs w:val="28"/>
          <w:u w:val="none"/>
          <w:bdr w:val="none" w:color="auto" w:sz="0" w:space="0"/>
        </w:rPr>
        <w:t>第十八条</w:t>
      </w:r>
      <w:r>
        <w:rPr>
          <w:rFonts w:hint="eastAsia" w:ascii="宋体" w:hAnsi="宋体" w:eastAsia="宋体" w:cs="宋体"/>
          <w:i w:val="0"/>
          <w:caps w:val="0"/>
          <w:color w:val="4C5157"/>
          <w:spacing w:val="0"/>
          <w:sz w:val="28"/>
          <w:szCs w:val="28"/>
          <w:u w:val="none"/>
          <w:bdr w:val="none" w:color="auto" w:sz="0" w:space="0"/>
        </w:rPr>
        <w:t> 本办法由省自然资源和规划主管部门、省财政部门、省发展改革部门在各自的职责范围内进行解释。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sz w:val="28"/>
          <w:szCs w:val="28"/>
          <w:u w:val="none"/>
        </w:rPr>
      </w:pPr>
      <w:r>
        <w:rPr>
          <w:rFonts w:hint="eastAsia" w:ascii="宋体" w:hAnsi="宋体" w:eastAsia="宋体" w:cs="宋体"/>
          <w:b/>
          <w:i w:val="0"/>
          <w:caps w:val="0"/>
          <w:color w:val="4C5157"/>
          <w:spacing w:val="0"/>
          <w:sz w:val="28"/>
          <w:szCs w:val="28"/>
          <w:u w:val="none"/>
          <w:bdr w:val="none" w:color="auto" w:sz="0" w:space="0"/>
        </w:rPr>
        <w:t>第十九条</w:t>
      </w:r>
      <w:r>
        <w:rPr>
          <w:rFonts w:hint="eastAsia" w:ascii="宋体" w:hAnsi="宋体" w:eastAsia="宋体" w:cs="宋体"/>
          <w:i w:val="0"/>
          <w:caps w:val="0"/>
          <w:color w:val="4C5157"/>
          <w:spacing w:val="0"/>
          <w:sz w:val="28"/>
          <w:szCs w:val="28"/>
          <w:u w:val="none"/>
          <w:bdr w:val="none" w:color="auto" w:sz="0" w:space="0"/>
        </w:rPr>
        <w:t> 本办法自2021年5月1日起施行。海南省人民政府2002年1月31日发布的《海南省耕地开垦费收缴使用管理办法》同时废止。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i w:val="0"/>
          <w:caps w:val="0"/>
          <w:color w:val="4C5157"/>
          <w:spacing w:val="0"/>
          <w:sz w:val="28"/>
          <w:szCs w:val="28"/>
          <w:u w:val="none"/>
          <w:bdr w:val="none" w:color="auto" w:sz="0" w:space="0"/>
        </w:rPr>
      </w:pPr>
      <w:r>
        <w:rPr>
          <w:rFonts w:hint="eastAsia" w:ascii="宋体" w:hAnsi="宋体" w:eastAsia="宋体" w:cs="宋体"/>
          <w:i w:val="0"/>
          <w:caps w:val="0"/>
          <w:color w:val="4C5157"/>
          <w:spacing w:val="0"/>
          <w:sz w:val="28"/>
          <w:szCs w:val="28"/>
          <w:u w:val="none"/>
          <w:bdr w:val="none" w:color="auto" w:sz="0" w:space="0"/>
        </w:rPr>
        <w:t>附件：海南省耕地开垦费收缴标准表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i w:val="0"/>
          <w:caps w:val="0"/>
          <w:color w:val="4C5157"/>
          <w:spacing w:val="0"/>
          <w:sz w:val="28"/>
          <w:szCs w:val="28"/>
          <w:u w:val="none"/>
          <w:bdr w:val="none" w:color="auto" w:sz="0" w:space="0"/>
        </w:rPr>
        <w:sectPr>
          <w:pgSz w:w="11906" w:h="16838"/>
          <w:pgMar w:top="1440" w:right="1800" w:bottom="1440" w:left="1800" w:header="851" w:footer="992" w:gutter="0"/>
          <w:cols w:space="425" w:num="1"/>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420"/>
        <w:jc w:val="both"/>
        <w:rPr>
          <w:rFonts w:hint="eastAsia" w:ascii="宋体" w:hAnsi="宋体" w:eastAsia="宋体" w:cs="宋体"/>
          <w:i w:val="0"/>
          <w:caps w:val="0"/>
          <w:color w:val="4C5157"/>
          <w:spacing w:val="0"/>
          <w:sz w:val="24"/>
          <w:szCs w:val="24"/>
          <w:u w:val="none"/>
        </w:rPr>
      </w:pPr>
      <w:r>
        <w:rPr>
          <w:rFonts w:hint="eastAsia" w:ascii="宋体" w:hAnsi="宋体" w:eastAsia="宋体" w:cs="宋体"/>
          <w:b/>
          <w:i w:val="0"/>
          <w:caps w:val="0"/>
          <w:color w:val="4C5157"/>
          <w:spacing w:val="0"/>
          <w:sz w:val="24"/>
          <w:szCs w:val="24"/>
          <w:u w:val="none"/>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450" w:lineRule="atLeast"/>
        <w:ind w:left="0" w:right="0" w:firstLine="0"/>
        <w:jc w:val="center"/>
        <w:rPr>
          <w:rFonts w:hint="eastAsia" w:ascii="宋体" w:hAnsi="宋体" w:eastAsia="宋体" w:cs="宋体"/>
          <w:i w:val="0"/>
          <w:caps w:val="0"/>
          <w:color w:val="4C5157"/>
          <w:spacing w:val="0"/>
          <w:sz w:val="24"/>
          <w:szCs w:val="24"/>
          <w:u w:val="none"/>
        </w:rPr>
      </w:pPr>
      <w:r>
        <w:rPr>
          <w:rFonts w:hint="eastAsia" w:ascii="宋体" w:hAnsi="宋体" w:eastAsia="宋体" w:cs="宋体"/>
          <w:b/>
          <w:i w:val="0"/>
          <w:caps w:val="0"/>
          <w:color w:val="4C5157"/>
          <w:spacing w:val="0"/>
          <w:sz w:val="24"/>
          <w:szCs w:val="24"/>
          <w:u w:val="none"/>
          <w:bdr w:val="none" w:color="auto" w:sz="0" w:space="0"/>
          <w:shd w:val="clear" w:fill="FFFFFF"/>
        </w:rPr>
        <w:t>海南省耕地开垦费收缴标准表</w:t>
      </w:r>
    </w:p>
    <w:tbl>
      <w:tblPr>
        <w:tblW w:w="14014"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511"/>
        <w:gridCol w:w="1436"/>
        <w:gridCol w:w="1688"/>
        <w:gridCol w:w="1738"/>
        <w:gridCol w:w="2115"/>
        <w:gridCol w:w="2495"/>
        <w:gridCol w:w="303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53" w:hRule="atLeast"/>
          <w:jc w:val="center"/>
        </w:trPr>
        <w:tc>
          <w:tcPr>
            <w:tcW w:w="1511" w:type="dxa"/>
            <w:vMerge w:val="restart"/>
            <w:tcBorders>
              <w:top w:val="single" w:color="auto" w:sz="8" w:space="0"/>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b/>
                <w:kern w:val="0"/>
                <w:sz w:val="18"/>
                <w:szCs w:val="18"/>
                <w:u w:val="none"/>
                <w:bdr w:val="none" w:color="auto" w:sz="0" w:space="0"/>
                <w:lang w:val="en-US" w:eastAsia="zh-CN" w:bidi="ar"/>
              </w:rPr>
              <w:t>类型</w:t>
            </w:r>
          </w:p>
        </w:tc>
        <w:tc>
          <w:tcPr>
            <w:tcW w:w="1436" w:type="dxa"/>
            <w:vMerge w:val="restart"/>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b/>
                <w:kern w:val="0"/>
                <w:sz w:val="18"/>
                <w:szCs w:val="18"/>
                <w:u w:val="none"/>
                <w:bdr w:val="none" w:color="auto" w:sz="0" w:space="0"/>
                <w:lang w:val="en-US" w:eastAsia="zh-CN" w:bidi="ar"/>
              </w:rPr>
              <w:t>地类</w:t>
            </w:r>
          </w:p>
        </w:tc>
        <w:tc>
          <w:tcPr>
            <w:tcW w:w="1688" w:type="dxa"/>
            <w:vMerge w:val="restart"/>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b/>
                <w:kern w:val="0"/>
                <w:sz w:val="18"/>
                <w:szCs w:val="18"/>
                <w:u w:val="none"/>
                <w:bdr w:val="none" w:color="auto" w:sz="0" w:space="0"/>
                <w:lang w:val="en-US" w:eastAsia="zh-CN" w:bidi="ar"/>
              </w:rPr>
              <w:t>档次</w:t>
            </w:r>
          </w:p>
        </w:tc>
        <w:tc>
          <w:tcPr>
            <w:tcW w:w="1738" w:type="dxa"/>
            <w:vMerge w:val="restart"/>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b/>
                <w:kern w:val="0"/>
                <w:sz w:val="18"/>
                <w:szCs w:val="18"/>
                <w:u w:val="none"/>
                <w:bdr w:val="none" w:color="auto" w:sz="0" w:space="0"/>
                <w:lang w:val="en-US" w:eastAsia="zh-CN" w:bidi="ar"/>
              </w:rPr>
              <w:t>国家级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b/>
                <w:kern w:val="0"/>
                <w:sz w:val="18"/>
                <w:szCs w:val="18"/>
                <w:u w:val="none"/>
                <w:bdr w:val="none" w:color="auto" w:sz="0" w:space="0"/>
                <w:lang w:val="en-US" w:eastAsia="zh-CN" w:bidi="ar"/>
              </w:rPr>
              <w:t>利用等别</w:t>
            </w:r>
          </w:p>
        </w:tc>
        <w:tc>
          <w:tcPr>
            <w:tcW w:w="7641" w:type="dxa"/>
            <w:gridSpan w:val="3"/>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b/>
                <w:kern w:val="0"/>
                <w:sz w:val="18"/>
                <w:szCs w:val="18"/>
                <w:u w:val="none"/>
                <w:bdr w:val="none" w:color="auto" w:sz="0" w:space="0"/>
                <w:lang w:val="en-US" w:eastAsia="zh-CN" w:bidi="ar"/>
              </w:rPr>
              <w:t>各市县耕地开垦费收缴标准（元/</w:t>
            </w:r>
            <w:r>
              <w:rPr>
                <w:rFonts w:ascii="仿宋_GB2312" w:hAnsi="Times New Roman" w:eastAsia="仿宋_GB2312" w:cs="仿宋_GB2312"/>
                <w:b/>
                <w:kern w:val="0"/>
                <w:sz w:val="18"/>
                <w:szCs w:val="18"/>
                <w:u w:val="none"/>
                <w:bdr w:val="none" w:color="auto" w:sz="0" w:space="0"/>
                <w:lang w:val="en-US" w:eastAsia="zh-CN" w:bidi="ar"/>
              </w:rPr>
              <w:t>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713" w:hRule="atLeast"/>
          <w:jc w:val="center"/>
        </w:trPr>
        <w:tc>
          <w:tcPr>
            <w:tcW w:w="1511" w:type="dxa"/>
            <w:vMerge w:val="continue"/>
            <w:tcBorders>
              <w:top w:val="single" w:color="auto" w:sz="8" w:space="0"/>
              <w:left w:val="single" w:color="auto" w:sz="8" w:space="0"/>
              <w:bottom w:val="single" w:color="auto" w:sz="8" w:space="0"/>
              <w:right w:val="single" w:color="auto" w:sz="8" w:space="0"/>
            </w:tcBorders>
            <w:shd w:val="clear"/>
            <w:tcMar>
              <w:left w:w="28" w:type="dxa"/>
              <w:right w:w="28" w:type="dxa"/>
            </w:tcMar>
            <w:vAlign w:val="center"/>
          </w:tcPr>
          <w:p>
            <w:pPr>
              <w:rPr>
                <w:rFonts w:hint="eastAsia" w:ascii="微软雅黑" w:hAnsi="微软雅黑" w:eastAsia="微软雅黑" w:cs="微软雅黑"/>
                <w:sz w:val="18"/>
                <w:szCs w:val="18"/>
                <w:u w:val="none"/>
              </w:rPr>
            </w:pPr>
          </w:p>
        </w:tc>
        <w:tc>
          <w:tcPr>
            <w:tcW w:w="1436" w:type="dxa"/>
            <w:vMerge w:val="continue"/>
            <w:tcBorders>
              <w:top w:val="single" w:color="auto" w:sz="8" w:space="0"/>
              <w:left w:val="nil"/>
              <w:bottom w:val="single" w:color="auto" w:sz="8" w:space="0"/>
              <w:right w:val="single" w:color="auto" w:sz="8" w:space="0"/>
            </w:tcBorders>
            <w:shd w:val="clear"/>
            <w:tcMar>
              <w:left w:w="28" w:type="dxa"/>
              <w:right w:w="28" w:type="dxa"/>
            </w:tcMar>
            <w:vAlign w:val="center"/>
          </w:tcPr>
          <w:p>
            <w:pPr>
              <w:rPr>
                <w:rFonts w:hint="eastAsia" w:ascii="微软雅黑" w:hAnsi="微软雅黑" w:eastAsia="微软雅黑" w:cs="微软雅黑"/>
                <w:sz w:val="18"/>
                <w:szCs w:val="18"/>
                <w:u w:val="none"/>
              </w:rPr>
            </w:pPr>
          </w:p>
        </w:tc>
        <w:tc>
          <w:tcPr>
            <w:tcW w:w="1688" w:type="dxa"/>
            <w:vMerge w:val="continue"/>
            <w:tcBorders>
              <w:top w:val="single" w:color="auto" w:sz="8" w:space="0"/>
              <w:left w:val="nil"/>
              <w:bottom w:val="single" w:color="auto" w:sz="8" w:space="0"/>
              <w:right w:val="single" w:color="auto" w:sz="8" w:space="0"/>
            </w:tcBorders>
            <w:shd w:val="clear"/>
            <w:tcMar>
              <w:left w:w="28" w:type="dxa"/>
              <w:right w:w="28" w:type="dxa"/>
            </w:tcMar>
            <w:vAlign w:val="center"/>
          </w:tcPr>
          <w:p>
            <w:pPr>
              <w:rPr>
                <w:rFonts w:hint="eastAsia" w:ascii="微软雅黑" w:hAnsi="微软雅黑" w:eastAsia="微软雅黑" w:cs="微软雅黑"/>
                <w:sz w:val="18"/>
                <w:szCs w:val="18"/>
                <w:u w:val="none"/>
              </w:rPr>
            </w:pPr>
          </w:p>
        </w:tc>
        <w:tc>
          <w:tcPr>
            <w:tcW w:w="1738" w:type="dxa"/>
            <w:vMerge w:val="continue"/>
            <w:tcBorders>
              <w:top w:val="single" w:color="auto" w:sz="8" w:space="0"/>
              <w:left w:val="nil"/>
              <w:bottom w:val="single" w:color="auto" w:sz="8" w:space="0"/>
              <w:right w:val="single" w:color="auto" w:sz="8" w:space="0"/>
            </w:tcBorders>
            <w:shd w:val="clear"/>
            <w:tcMar>
              <w:left w:w="28" w:type="dxa"/>
              <w:right w:w="28" w:type="dxa"/>
            </w:tcMar>
            <w:vAlign w:val="center"/>
          </w:tcPr>
          <w:p>
            <w:pPr>
              <w:rPr>
                <w:rFonts w:hint="eastAsia" w:ascii="微软雅黑" w:hAnsi="微软雅黑" w:eastAsia="微软雅黑" w:cs="微软雅黑"/>
                <w:sz w:val="18"/>
                <w:szCs w:val="18"/>
                <w:u w:val="none"/>
              </w:rPr>
            </w:pPr>
          </w:p>
        </w:tc>
        <w:tc>
          <w:tcPr>
            <w:tcW w:w="211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b/>
                <w:kern w:val="0"/>
                <w:sz w:val="18"/>
                <w:szCs w:val="18"/>
                <w:u w:val="none"/>
                <w:bdr w:val="none" w:color="auto" w:sz="0" w:space="0"/>
                <w:lang w:val="en-US" w:eastAsia="zh-CN" w:bidi="ar"/>
              </w:rPr>
              <w:t>海口市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b/>
                <w:kern w:val="0"/>
                <w:sz w:val="18"/>
                <w:szCs w:val="18"/>
                <w:u w:val="none"/>
                <w:bdr w:val="none" w:color="auto" w:sz="0" w:space="0"/>
                <w:lang w:val="en-US" w:eastAsia="zh-CN" w:bidi="ar"/>
              </w:rPr>
              <w:t>三亚市</w:t>
            </w:r>
          </w:p>
        </w:tc>
        <w:tc>
          <w:tcPr>
            <w:tcW w:w="2495" w:type="dxa"/>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b/>
                <w:kern w:val="0"/>
                <w:sz w:val="18"/>
                <w:szCs w:val="18"/>
                <w:u w:val="none"/>
                <w:bdr w:val="none" w:color="auto" w:sz="0" w:space="0"/>
                <w:lang w:val="en-US" w:eastAsia="zh-CN" w:bidi="ar"/>
              </w:rPr>
              <w:t>儋州市（含洋浦）</w:t>
            </w:r>
            <w:r>
              <w:rPr>
                <w:rFonts w:hint="default" w:ascii="仿宋_GB2312" w:hAnsi="微软雅黑" w:eastAsia="仿宋_GB2312" w:cs="仿宋_GB2312"/>
                <w:b/>
                <w:kern w:val="0"/>
                <w:sz w:val="18"/>
                <w:szCs w:val="18"/>
                <w:u w:val="none"/>
                <w:bdr w:val="none" w:color="auto" w:sz="0" w:space="0"/>
                <w:lang w:val="en-US" w:eastAsia="zh-CN" w:bidi="ar"/>
              </w:rPr>
              <w:t>、</w:t>
            </w:r>
            <w:r>
              <w:rPr>
                <w:rFonts w:hint="default" w:ascii="Times New Roman" w:hAnsi="Times New Roman" w:eastAsia="微软雅黑" w:cs="Times New Roman"/>
                <w:b/>
                <w:kern w:val="0"/>
                <w:sz w:val="18"/>
                <w:szCs w:val="18"/>
                <w:u w:val="none"/>
                <w:bdr w:val="none" w:color="auto" w:sz="0" w:space="0"/>
                <w:lang w:val="en-US" w:eastAsia="zh-CN" w:bidi="ar"/>
              </w:rPr>
              <w:t>琼海市、文昌市、万宁市、东方市、澄迈县、陵水黎族自治县</w:t>
            </w:r>
          </w:p>
        </w:tc>
        <w:tc>
          <w:tcPr>
            <w:tcW w:w="3031" w:type="dxa"/>
            <w:tcBorders>
              <w:top w:val="single" w:color="auto" w:sz="8" w:space="0"/>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b/>
                <w:kern w:val="0"/>
                <w:sz w:val="18"/>
                <w:szCs w:val="18"/>
                <w:u w:val="none"/>
                <w:bdr w:val="none" w:color="auto" w:sz="0" w:space="0"/>
                <w:lang w:val="en-US" w:eastAsia="zh-CN" w:bidi="ar"/>
              </w:rPr>
              <w:t>定安县、屯昌县、临高县、五指山市、乐东黎族自治县、昌江黎族自治县、白沙黎族自治县、保亭黎族苗族自治县、琼中黎族苗族自治县</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84" w:hRule="atLeast"/>
          <w:jc w:val="center"/>
        </w:trPr>
        <w:tc>
          <w:tcPr>
            <w:tcW w:w="1511" w:type="dxa"/>
            <w:vMerge w:val="restart"/>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一般耕地</w:t>
            </w:r>
          </w:p>
        </w:tc>
        <w:tc>
          <w:tcPr>
            <w:tcW w:w="1436" w:type="dxa"/>
            <w:vMerge w:val="restart"/>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水田</w:t>
            </w:r>
          </w:p>
        </w:tc>
        <w:tc>
          <w:tcPr>
            <w:tcW w:w="168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优等地</w:t>
            </w:r>
          </w:p>
        </w:tc>
        <w:tc>
          <w:tcPr>
            <w:tcW w:w="173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1~4</w:t>
            </w:r>
            <w:r>
              <w:rPr>
                <w:rFonts w:hint="default" w:ascii="仿宋_GB2312" w:hAnsi="Times New Roman" w:eastAsia="仿宋_GB2312" w:cs="仿宋_GB2312"/>
                <w:kern w:val="0"/>
                <w:sz w:val="18"/>
                <w:szCs w:val="18"/>
                <w:u w:val="none"/>
                <w:bdr w:val="none" w:color="auto" w:sz="0" w:space="0"/>
                <w:lang w:val="en-US" w:eastAsia="zh-CN" w:bidi="ar"/>
              </w:rPr>
              <w:t>等</w:t>
            </w:r>
          </w:p>
        </w:tc>
        <w:tc>
          <w:tcPr>
            <w:tcW w:w="211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57000</w:t>
            </w:r>
          </w:p>
        </w:tc>
        <w:tc>
          <w:tcPr>
            <w:tcW w:w="24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52000</w:t>
            </w:r>
          </w:p>
        </w:tc>
        <w:tc>
          <w:tcPr>
            <w:tcW w:w="3031"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46000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80" w:hRule="atLeast"/>
          <w:jc w:val="center"/>
        </w:trPr>
        <w:tc>
          <w:tcPr>
            <w:tcW w:w="1511" w:type="dxa"/>
            <w:vMerge w:val="continue"/>
            <w:tcBorders>
              <w:top w:val="nil"/>
              <w:left w:val="single" w:color="auto" w:sz="8" w:space="0"/>
              <w:bottom w:val="single" w:color="auto" w:sz="8" w:space="0"/>
              <w:right w:val="single" w:color="auto" w:sz="8" w:space="0"/>
            </w:tcBorders>
            <w:shd w:val="clear"/>
            <w:tcMar>
              <w:left w:w="28" w:type="dxa"/>
              <w:right w:w="28" w:type="dxa"/>
            </w:tcMar>
            <w:vAlign w:val="center"/>
          </w:tcPr>
          <w:p>
            <w:pPr>
              <w:rPr>
                <w:rFonts w:hint="eastAsia" w:ascii="微软雅黑" w:hAnsi="微软雅黑" w:eastAsia="微软雅黑" w:cs="微软雅黑"/>
                <w:sz w:val="18"/>
                <w:szCs w:val="18"/>
                <w:u w:val="none"/>
              </w:rPr>
            </w:pPr>
          </w:p>
        </w:tc>
        <w:tc>
          <w:tcPr>
            <w:tcW w:w="1436" w:type="dxa"/>
            <w:vMerge w:val="continue"/>
            <w:tcBorders>
              <w:top w:val="nil"/>
              <w:left w:val="nil"/>
              <w:bottom w:val="single" w:color="auto" w:sz="8" w:space="0"/>
              <w:right w:val="single" w:color="auto" w:sz="8" w:space="0"/>
            </w:tcBorders>
            <w:shd w:val="clear"/>
            <w:tcMar>
              <w:left w:w="28" w:type="dxa"/>
              <w:right w:w="28" w:type="dxa"/>
            </w:tcMar>
            <w:vAlign w:val="center"/>
          </w:tcPr>
          <w:p>
            <w:pPr>
              <w:rPr>
                <w:rFonts w:hint="eastAsia" w:ascii="微软雅黑" w:hAnsi="微软雅黑" w:eastAsia="微软雅黑" w:cs="微软雅黑"/>
                <w:sz w:val="18"/>
                <w:szCs w:val="18"/>
                <w:u w:val="none"/>
              </w:rPr>
            </w:pPr>
          </w:p>
        </w:tc>
        <w:tc>
          <w:tcPr>
            <w:tcW w:w="168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高等地</w:t>
            </w:r>
          </w:p>
        </w:tc>
        <w:tc>
          <w:tcPr>
            <w:tcW w:w="173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5~8</w:t>
            </w:r>
            <w:r>
              <w:rPr>
                <w:rFonts w:hint="default" w:ascii="仿宋_GB2312" w:hAnsi="Times New Roman" w:eastAsia="仿宋_GB2312" w:cs="仿宋_GB2312"/>
                <w:kern w:val="0"/>
                <w:sz w:val="18"/>
                <w:szCs w:val="18"/>
                <w:u w:val="none"/>
                <w:bdr w:val="none" w:color="auto" w:sz="0" w:space="0"/>
                <w:lang w:val="en-US" w:eastAsia="zh-CN" w:bidi="ar"/>
              </w:rPr>
              <w:t>等</w:t>
            </w:r>
          </w:p>
        </w:tc>
        <w:tc>
          <w:tcPr>
            <w:tcW w:w="211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55000</w:t>
            </w:r>
          </w:p>
        </w:tc>
        <w:tc>
          <w:tcPr>
            <w:tcW w:w="24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50000</w:t>
            </w:r>
          </w:p>
        </w:tc>
        <w:tc>
          <w:tcPr>
            <w:tcW w:w="3031"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45000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90" w:hRule="atLeast"/>
          <w:jc w:val="center"/>
        </w:trPr>
        <w:tc>
          <w:tcPr>
            <w:tcW w:w="1511" w:type="dxa"/>
            <w:vMerge w:val="continue"/>
            <w:tcBorders>
              <w:top w:val="nil"/>
              <w:left w:val="single" w:color="auto" w:sz="8" w:space="0"/>
              <w:bottom w:val="single" w:color="auto" w:sz="8" w:space="0"/>
              <w:right w:val="single" w:color="auto" w:sz="8" w:space="0"/>
            </w:tcBorders>
            <w:shd w:val="clear"/>
            <w:tcMar>
              <w:left w:w="28" w:type="dxa"/>
              <w:right w:w="28" w:type="dxa"/>
            </w:tcMar>
            <w:vAlign w:val="center"/>
          </w:tcPr>
          <w:p>
            <w:pPr>
              <w:rPr>
                <w:rFonts w:hint="eastAsia" w:ascii="微软雅黑" w:hAnsi="微软雅黑" w:eastAsia="微软雅黑" w:cs="微软雅黑"/>
                <w:sz w:val="18"/>
                <w:szCs w:val="18"/>
                <w:u w:val="none"/>
              </w:rPr>
            </w:pPr>
          </w:p>
        </w:tc>
        <w:tc>
          <w:tcPr>
            <w:tcW w:w="1436" w:type="dxa"/>
            <w:vMerge w:val="continue"/>
            <w:tcBorders>
              <w:top w:val="nil"/>
              <w:left w:val="nil"/>
              <w:bottom w:val="single" w:color="auto" w:sz="8" w:space="0"/>
              <w:right w:val="single" w:color="auto" w:sz="8" w:space="0"/>
            </w:tcBorders>
            <w:shd w:val="clear"/>
            <w:tcMar>
              <w:left w:w="28" w:type="dxa"/>
              <w:right w:w="28" w:type="dxa"/>
            </w:tcMar>
            <w:vAlign w:val="center"/>
          </w:tcPr>
          <w:p>
            <w:pPr>
              <w:rPr>
                <w:rFonts w:hint="eastAsia" w:ascii="微软雅黑" w:hAnsi="微软雅黑" w:eastAsia="微软雅黑" w:cs="微软雅黑"/>
                <w:sz w:val="18"/>
                <w:szCs w:val="18"/>
                <w:u w:val="none"/>
              </w:rPr>
            </w:pPr>
          </w:p>
        </w:tc>
        <w:tc>
          <w:tcPr>
            <w:tcW w:w="168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中等地</w:t>
            </w:r>
          </w:p>
        </w:tc>
        <w:tc>
          <w:tcPr>
            <w:tcW w:w="173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9~12</w:t>
            </w:r>
            <w:r>
              <w:rPr>
                <w:rFonts w:hint="default" w:ascii="仿宋_GB2312" w:hAnsi="Times New Roman" w:eastAsia="仿宋_GB2312" w:cs="仿宋_GB2312"/>
                <w:kern w:val="0"/>
                <w:sz w:val="18"/>
                <w:szCs w:val="18"/>
                <w:u w:val="none"/>
                <w:bdr w:val="none" w:color="auto" w:sz="0" w:space="0"/>
                <w:lang w:val="en-US" w:eastAsia="zh-CN" w:bidi="ar"/>
              </w:rPr>
              <w:t>等</w:t>
            </w:r>
          </w:p>
        </w:tc>
        <w:tc>
          <w:tcPr>
            <w:tcW w:w="211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54000</w:t>
            </w:r>
          </w:p>
        </w:tc>
        <w:tc>
          <w:tcPr>
            <w:tcW w:w="24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49000</w:t>
            </w:r>
          </w:p>
        </w:tc>
        <w:tc>
          <w:tcPr>
            <w:tcW w:w="3031"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44000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96" w:hRule="atLeast"/>
          <w:jc w:val="center"/>
        </w:trPr>
        <w:tc>
          <w:tcPr>
            <w:tcW w:w="1511" w:type="dxa"/>
            <w:vMerge w:val="continue"/>
            <w:tcBorders>
              <w:top w:val="nil"/>
              <w:left w:val="single" w:color="auto" w:sz="8" w:space="0"/>
              <w:bottom w:val="single" w:color="auto" w:sz="8" w:space="0"/>
              <w:right w:val="single" w:color="auto" w:sz="8" w:space="0"/>
            </w:tcBorders>
            <w:shd w:val="clear"/>
            <w:tcMar>
              <w:left w:w="28" w:type="dxa"/>
              <w:right w:w="28" w:type="dxa"/>
            </w:tcMar>
            <w:vAlign w:val="center"/>
          </w:tcPr>
          <w:p>
            <w:pPr>
              <w:rPr>
                <w:rFonts w:hint="eastAsia" w:ascii="微软雅黑" w:hAnsi="微软雅黑" w:eastAsia="微软雅黑" w:cs="微软雅黑"/>
                <w:sz w:val="18"/>
                <w:szCs w:val="18"/>
                <w:u w:val="none"/>
              </w:rPr>
            </w:pPr>
          </w:p>
        </w:tc>
        <w:tc>
          <w:tcPr>
            <w:tcW w:w="1436" w:type="dxa"/>
            <w:vMerge w:val="continue"/>
            <w:tcBorders>
              <w:top w:val="nil"/>
              <w:left w:val="nil"/>
              <w:bottom w:val="single" w:color="auto" w:sz="8" w:space="0"/>
              <w:right w:val="single" w:color="auto" w:sz="8" w:space="0"/>
            </w:tcBorders>
            <w:shd w:val="clear"/>
            <w:tcMar>
              <w:left w:w="28" w:type="dxa"/>
              <w:right w:w="28" w:type="dxa"/>
            </w:tcMar>
            <w:vAlign w:val="center"/>
          </w:tcPr>
          <w:p>
            <w:pPr>
              <w:rPr>
                <w:rFonts w:hint="eastAsia" w:ascii="微软雅黑" w:hAnsi="微软雅黑" w:eastAsia="微软雅黑" w:cs="微软雅黑"/>
                <w:sz w:val="18"/>
                <w:szCs w:val="18"/>
                <w:u w:val="none"/>
              </w:rPr>
            </w:pPr>
          </w:p>
        </w:tc>
        <w:tc>
          <w:tcPr>
            <w:tcW w:w="168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低等地</w:t>
            </w:r>
          </w:p>
        </w:tc>
        <w:tc>
          <w:tcPr>
            <w:tcW w:w="173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13~15</w:t>
            </w:r>
            <w:r>
              <w:rPr>
                <w:rFonts w:hint="default" w:ascii="仿宋_GB2312" w:hAnsi="Times New Roman" w:eastAsia="仿宋_GB2312" w:cs="仿宋_GB2312"/>
                <w:kern w:val="0"/>
                <w:sz w:val="18"/>
                <w:szCs w:val="18"/>
                <w:u w:val="none"/>
                <w:bdr w:val="none" w:color="auto" w:sz="0" w:space="0"/>
                <w:lang w:val="en-US" w:eastAsia="zh-CN" w:bidi="ar"/>
              </w:rPr>
              <w:t>等</w:t>
            </w:r>
          </w:p>
        </w:tc>
        <w:tc>
          <w:tcPr>
            <w:tcW w:w="211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53000</w:t>
            </w:r>
          </w:p>
        </w:tc>
        <w:tc>
          <w:tcPr>
            <w:tcW w:w="24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48000</w:t>
            </w:r>
          </w:p>
        </w:tc>
        <w:tc>
          <w:tcPr>
            <w:tcW w:w="3031"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43000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96" w:hRule="atLeast"/>
          <w:jc w:val="center"/>
        </w:trPr>
        <w:tc>
          <w:tcPr>
            <w:tcW w:w="1511" w:type="dxa"/>
            <w:vMerge w:val="continue"/>
            <w:tcBorders>
              <w:top w:val="nil"/>
              <w:left w:val="single" w:color="auto" w:sz="8" w:space="0"/>
              <w:bottom w:val="single" w:color="auto" w:sz="8" w:space="0"/>
              <w:right w:val="single" w:color="auto" w:sz="8" w:space="0"/>
            </w:tcBorders>
            <w:shd w:val="clear"/>
            <w:tcMar>
              <w:left w:w="28" w:type="dxa"/>
              <w:right w:w="28" w:type="dxa"/>
            </w:tcMar>
            <w:vAlign w:val="center"/>
          </w:tcPr>
          <w:p>
            <w:pPr>
              <w:rPr>
                <w:rFonts w:hint="eastAsia" w:ascii="微软雅黑" w:hAnsi="微软雅黑" w:eastAsia="微软雅黑" w:cs="微软雅黑"/>
                <w:sz w:val="18"/>
                <w:szCs w:val="18"/>
                <w:u w:val="none"/>
              </w:rPr>
            </w:pPr>
          </w:p>
        </w:tc>
        <w:tc>
          <w:tcPr>
            <w:tcW w:w="1436" w:type="dxa"/>
            <w:vMerge w:val="restart"/>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旱地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（含水浇地）</w:t>
            </w:r>
          </w:p>
        </w:tc>
        <w:tc>
          <w:tcPr>
            <w:tcW w:w="168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优等地</w:t>
            </w:r>
          </w:p>
        </w:tc>
        <w:tc>
          <w:tcPr>
            <w:tcW w:w="173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1~4</w:t>
            </w:r>
            <w:r>
              <w:rPr>
                <w:rFonts w:hint="default" w:ascii="仿宋_GB2312" w:hAnsi="Times New Roman" w:eastAsia="仿宋_GB2312" w:cs="仿宋_GB2312"/>
                <w:kern w:val="0"/>
                <w:sz w:val="18"/>
                <w:szCs w:val="18"/>
                <w:u w:val="none"/>
                <w:bdr w:val="none" w:color="auto" w:sz="0" w:space="0"/>
                <w:lang w:val="en-US" w:eastAsia="zh-CN" w:bidi="ar"/>
              </w:rPr>
              <w:t>等</w:t>
            </w:r>
          </w:p>
        </w:tc>
        <w:tc>
          <w:tcPr>
            <w:tcW w:w="211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35000</w:t>
            </w:r>
          </w:p>
        </w:tc>
        <w:tc>
          <w:tcPr>
            <w:tcW w:w="24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32000</w:t>
            </w:r>
          </w:p>
        </w:tc>
        <w:tc>
          <w:tcPr>
            <w:tcW w:w="3031"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29000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78" w:hRule="atLeast"/>
          <w:jc w:val="center"/>
        </w:trPr>
        <w:tc>
          <w:tcPr>
            <w:tcW w:w="1511" w:type="dxa"/>
            <w:vMerge w:val="continue"/>
            <w:tcBorders>
              <w:top w:val="nil"/>
              <w:left w:val="single" w:color="auto" w:sz="8" w:space="0"/>
              <w:bottom w:val="single" w:color="auto" w:sz="8" w:space="0"/>
              <w:right w:val="single" w:color="auto" w:sz="8" w:space="0"/>
            </w:tcBorders>
            <w:shd w:val="clear"/>
            <w:tcMar>
              <w:left w:w="28" w:type="dxa"/>
              <w:right w:w="28" w:type="dxa"/>
            </w:tcMar>
            <w:vAlign w:val="center"/>
          </w:tcPr>
          <w:p>
            <w:pPr>
              <w:rPr>
                <w:rFonts w:hint="eastAsia" w:ascii="微软雅黑" w:hAnsi="微软雅黑" w:eastAsia="微软雅黑" w:cs="微软雅黑"/>
                <w:sz w:val="18"/>
                <w:szCs w:val="18"/>
                <w:u w:val="none"/>
              </w:rPr>
            </w:pPr>
          </w:p>
        </w:tc>
        <w:tc>
          <w:tcPr>
            <w:tcW w:w="1436" w:type="dxa"/>
            <w:vMerge w:val="continue"/>
            <w:tcBorders>
              <w:top w:val="nil"/>
              <w:left w:val="nil"/>
              <w:bottom w:val="single" w:color="auto" w:sz="8" w:space="0"/>
              <w:right w:val="single" w:color="auto" w:sz="8" w:space="0"/>
            </w:tcBorders>
            <w:shd w:val="clear"/>
            <w:tcMar>
              <w:left w:w="28" w:type="dxa"/>
              <w:right w:w="28" w:type="dxa"/>
            </w:tcMar>
            <w:vAlign w:val="center"/>
          </w:tcPr>
          <w:p>
            <w:pPr>
              <w:rPr>
                <w:rFonts w:hint="eastAsia" w:ascii="微软雅黑" w:hAnsi="微软雅黑" w:eastAsia="微软雅黑" w:cs="微软雅黑"/>
                <w:sz w:val="18"/>
                <w:szCs w:val="18"/>
                <w:u w:val="none"/>
              </w:rPr>
            </w:pPr>
          </w:p>
        </w:tc>
        <w:tc>
          <w:tcPr>
            <w:tcW w:w="168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高等地</w:t>
            </w:r>
          </w:p>
        </w:tc>
        <w:tc>
          <w:tcPr>
            <w:tcW w:w="173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5~8</w:t>
            </w:r>
            <w:r>
              <w:rPr>
                <w:rFonts w:hint="default" w:ascii="仿宋_GB2312" w:hAnsi="Times New Roman" w:eastAsia="仿宋_GB2312" w:cs="仿宋_GB2312"/>
                <w:kern w:val="0"/>
                <w:sz w:val="18"/>
                <w:szCs w:val="18"/>
                <w:u w:val="none"/>
                <w:bdr w:val="none" w:color="auto" w:sz="0" w:space="0"/>
                <w:lang w:val="en-US" w:eastAsia="zh-CN" w:bidi="ar"/>
              </w:rPr>
              <w:t>等</w:t>
            </w:r>
          </w:p>
        </w:tc>
        <w:tc>
          <w:tcPr>
            <w:tcW w:w="211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34000</w:t>
            </w:r>
          </w:p>
        </w:tc>
        <w:tc>
          <w:tcPr>
            <w:tcW w:w="24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31000</w:t>
            </w:r>
          </w:p>
        </w:tc>
        <w:tc>
          <w:tcPr>
            <w:tcW w:w="3031"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28000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830" w:hRule="atLeast"/>
          <w:jc w:val="center"/>
        </w:trPr>
        <w:tc>
          <w:tcPr>
            <w:tcW w:w="1511" w:type="dxa"/>
            <w:vMerge w:val="continue"/>
            <w:tcBorders>
              <w:top w:val="nil"/>
              <w:left w:val="single" w:color="auto" w:sz="8" w:space="0"/>
              <w:bottom w:val="single" w:color="auto" w:sz="8" w:space="0"/>
              <w:right w:val="single" w:color="auto" w:sz="8" w:space="0"/>
            </w:tcBorders>
            <w:shd w:val="clear"/>
            <w:tcMar>
              <w:left w:w="28" w:type="dxa"/>
              <w:right w:w="28" w:type="dxa"/>
            </w:tcMar>
            <w:vAlign w:val="center"/>
          </w:tcPr>
          <w:p>
            <w:pPr>
              <w:rPr>
                <w:rFonts w:hint="eastAsia" w:ascii="微软雅黑" w:hAnsi="微软雅黑" w:eastAsia="微软雅黑" w:cs="微软雅黑"/>
                <w:sz w:val="18"/>
                <w:szCs w:val="18"/>
                <w:u w:val="none"/>
              </w:rPr>
            </w:pPr>
          </w:p>
        </w:tc>
        <w:tc>
          <w:tcPr>
            <w:tcW w:w="1436" w:type="dxa"/>
            <w:vMerge w:val="continue"/>
            <w:tcBorders>
              <w:top w:val="nil"/>
              <w:left w:val="nil"/>
              <w:bottom w:val="single" w:color="auto" w:sz="8" w:space="0"/>
              <w:right w:val="single" w:color="auto" w:sz="8" w:space="0"/>
            </w:tcBorders>
            <w:shd w:val="clear"/>
            <w:tcMar>
              <w:left w:w="28" w:type="dxa"/>
              <w:right w:w="28" w:type="dxa"/>
            </w:tcMar>
            <w:vAlign w:val="center"/>
          </w:tcPr>
          <w:p>
            <w:pPr>
              <w:rPr>
                <w:rFonts w:hint="eastAsia" w:ascii="微软雅黑" w:hAnsi="微软雅黑" w:eastAsia="微软雅黑" w:cs="微软雅黑"/>
                <w:sz w:val="18"/>
                <w:szCs w:val="18"/>
                <w:u w:val="none"/>
              </w:rPr>
            </w:pPr>
          </w:p>
        </w:tc>
        <w:tc>
          <w:tcPr>
            <w:tcW w:w="168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中等地</w:t>
            </w:r>
          </w:p>
        </w:tc>
        <w:tc>
          <w:tcPr>
            <w:tcW w:w="173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9~12</w:t>
            </w:r>
            <w:r>
              <w:rPr>
                <w:rFonts w:hint="default" w:ascii="仿宋_GB2312" w:hAnsi="Times New Roman" w:eastAsia="仿宋_GB2312" w:cs="仿宋_GB2312"/>
                <w:kern w:val="0"/>
                <w:sz w:val="18"/>
                <w:szCs w:val="18"/>
                <w:u w:val="none"/>
                <w:bdr w:val="none" w:color="auto" w:sz="0" w:space="0"/>
                <w:lang w:val="en-US" w:eastAsia="zh-CN" w:bidi="ar"/>
              </w:rPr>
              <w:t>等</w:t>
            </w:r>
          </w:p>
        </w:tc>
        <w:tc>
          <w:tcPr>
            <w:tcW w:w="211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33300</w:t>
            </w:r>
          </w:p>
        </w:tc>
        <w:tc>
          <w:tcPr>
            <w:tcW w:w="24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30300</w:t>
            </w:r>
          </w:p>
        </w:tc>
        <w:tc>
          <w:tcPr>
            <w:tcW w:w="3031"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27300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830" w:hRule="atLeast"/>
          <w:jc w:val="center"/>
        </w:trPr>
        <w:tc>
          <w:tcPr>
            <w:tcW w:w="1511" w:type="dxa"/>
            <w:vMerge w:val="continue"/>
            <w:tcBorders>
              <w:top w:val="nil"/>
              <w:left w:val="single" w:color="auto" w:sz="8" w:space="0"/>
              <w:bottom w:val="single" w:color="auto" w:sz="8" w:space="0"/>
              <w:right w:val="single" w:color="auto" w:sz="8" w:space="0"/>
            </w:tcBorders>
            <w:shd w:val="clear"/>
            <w:tcMar>
              <w:left w:w="28" w:type="dxa"/>
              <w:right w:w="28" w:type="dxa"/>
            </w:tcMar>
            <w:vAlign w:val="center"/>
          </w:tcPr>
          <w:p>
            <w:pPr>
              <w:rPr>
                <w:rFonts w:hint="eastAsia" w:ascii="微软雅黑" w:hAnsi="微软雅黑" w:eastAsia="微软雅黑" w:cs="微软雅黑"/>
                <w:sz w:val="18"/>
                <w:szCs w:val="18"/>
                <w:u w:val="none"/>
              </w:rPr>
            </w:pPr>
          </w:p>
        </w:tc>
        <w:tc>
          <w:tcPr>
            <w:tcW w:w="1436" w:type="dxa"/>
            <w:vMerge w:val="continue"/>
            <w:tcBorders>
              <w:top w:val="nil"/>
              <w:left w:val="nil"/>
              <w:bottom w:val="single" w:color="auto" w:sz="8" w:space="0"/>
              <w:right w:val="single" w:color="auto" w:sz="8" w:space="0"/>
            </w:tcBorders>
            <w:shd w:val="clear"/>
            <w:tcMar>
              <w:left w:w="28" w:type="dxa"/>
              <w:right w:w="28" w:type="dxa"/>
            </w:tcMar>
            <w:vAlign w:val="center"/>
          </w:tcPr>
          <w:p>
            <w:pPr>
              <w:rPr>
                <w:rFonts w:hint="eastAsia" w:ascii="微软雅黑" w:hAnsi="微软雅黑" w:eastAsia="微软雅黑" w:cs="微软雅黑"/>
                <w:sz w:val="18"/>
                <w:szCs w:val="18"/>
                <w:u w:val="none"/>
              </w:rPr>
            </w:pPr>
          </w:p>
        </w:tc>
        <w:tc>
          <w:tcPr>
            <w:tcW w:w="168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低等地</w:t>
            </w:r>
          </w:p>
        </w:tc>
        <w:tc>
          <w:tcPr>
            <w:tcW w:w="1738"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13~15</w:t>
            </w:r>
            <w:r>
              <w:rPr>
                <w:rFonts w:hint="default" w:ascii="仿宋_GB2312" w:hAnsi="Times New Roman" w:eastAsia="仿宋_GB2312" w:cs="仿宋_GB2312"/>
                <w:kern w:val="0"/>
                <w:sz w:val="18"/>
                <w:szCs w:val="18"/>
                <w:u w:val="none"/>
                <w:bdr w:val="none" w:color="auto" w:sz="0" w:space="0"/>
                <w:lang w:val="en-US" w:eastAsia="zh-CN" w:bidi="ar"/>
              </w:rPr>
              <w:t>等</w:t>
            </w:r>
          </w:p>
        </w:tc>
        <w:tc>
          <w:tcPr>
            <w:tcW w:w="211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32600</w:t>
            </w:r>
          </w:p>
        </w:tc>
        <w:tc>
          <w:tcPr>
            <w:tcW w:w="2495"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29600</w:t>
            </w:r>
          </w:p>
        </w:tc>
        <w:tc>
          <w:tcPr>
            <w:tcW w:w="3031" w:type="dxa"/>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bdr w:val="none" w:color="auto" w:sz="0" w:space="0"/>
                <w:lang w:val="en-US" w:eastAsia="zh-CN" w:bidi="ar"/>
              </w:rPr>
              <w:t>26600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199" w:hRule="atLeast"/>
          <w:jc w:val="center"/>
        </w:trPr>
        <w:tc>
          <w:tcPr>
            <w:tcW w:w="1511" w:type="dxa"/>
            <w:tcBorders>
              <w:top w:val="nil"/>
              <w:left w:val="single" w:color="auto" w:sz="8" w:space="0"/>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eastAsia="微软雅黑" w:cs="Times New Roman"/>
                <w:kern w:val="0"/>
                <w:sz w:val="18"/>
                <w:szCs w:val="18"/>
                <w:u w:val="none"/>
                <w:lang w:val="en-US" w:eastAsia="zh-CN" w:bidi="ar"/>
              </w:rPr>
            </w:pPr>
            <w:r>
              <w:rPr>
                <w:rFonts w:hint="default" w:ascii="Times New Roman" w:hAnsi="Times New Roman" w:eastAsia="微软雅黑" w:cs="Times New Roman"/>
                <w:kern w:val="0"/>
                <w:sz w:val="18"/>
                <w:szCs w:val="18"/>
                <w:u w:val="none"/>
                <w:lang w:val="en-US" w:eastAsia="zh-CN" w:bidi="ar"/>
              </w:rPr>
              <w:t>永久基本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r>
              <w:rPr>
                <w:rFonts w:hint="default" w:ascii="Times New Roman" w:hAnsi="Times New Roman" w:eastAsia="微软雅黑" w:cs="Times New Roman"/>
                <w:kern w:val="0"/>
                <w:sz w:val="18"/>
                <w:szCs w:val="18"/>
                <w:u w:val="none"/>
                <w:lang w:val="en-US" w:eastAsia="zh-CN" w:bidi="ar"/>
              </w:rPr>
              <w:t>农</w:t>
            </w:r>
            <w:r>
              <w:rPr>
                <w:rFonts w:hint="default" w:ascii="Times New Roman" w:hAnsi="Times New Roman" w:eastAsia="微软雅黑" w:cs="Times New Roman"/>
                <w:kern w:val="0"/>
                <w:sz w:val="18"/>
                <w:szCs w:val="18"/>
                <w:u w:val="none"/>
                <w:bdr w:val="none" w:color="auto" w:sz="0" w:space="0"/>
                <w:lang w:val="en-US" w:eastAsia="zh-CN" w:bidi="ar"/>
              </w:rPr>
              <w:t>田</w:t>
            </w:r>
          </w:p>
        </w:tc>
        <w:tc>
          <w:tcPr>
            <w:tcW w:w="12503" w:type="dxa"/>
            <w:gridSpan w:val="6"/>
            <w:tcBorders>
              <w:top w:val="nil"/>
              <w:left w:val="nil"/>
              <w:bottom w:val="single" w:color="auto" w:sz="8" w:space="0"/>
              <w:right w:val="single" w:color="auto" w:sz="8" w:space="0"/>
            </w:tcBorders>
            <w:shd w:val="clear"/>
            <w:tcMar>
              <w:left w:w="28" w:type="dxa"/>
              <w:right w:w="2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sz w:val="18"/>
                <w:szCs w:val="18"/>
                <w:u w:val="none"/>
              </w:rPr>
            </w:pPr>
            <w:bookmarkStart w:id="0" w:name="_GoBack"/>
            <w:r>
              <w:rPr>
                <w:rFonts w:hint="default" w:ascii="Times New Roman" w:hAnsi="Times New Roman" w:eastAsia="微软雅黑" w:cs="Times New Roman"/>
                <w:kern w:val="0"/>
                <w:sz w:val="18"/>
                <w:szCs w:val="18"/>
                <w:u w:val="none"/>
                <w:lang w:val="en-US" w:eastAsia="zh-CN" w:bidi="ar"/>
              </w:rPr>
              <w:t>按对应耕地地类耕地开垦费最高标准的2倍征收。</w:t>
            </w:r>
            <w:bookmarkEnd w:id="0"/>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512" w:afterAutospacing="0" w:line="450" w:lineRule="atLeast"/>
        <w:ind w:left="0" w:right="0" w:firstLine="420"/>
        <w:jc w:val="both"/>
        <w:rPr>
          <w:rFonts w:hint="eastAsia" w:ascii="宋体" w:hAnsi="宋体" w:eastAsia="宋体" w:cs="宋体"/>
          <w:i w:val="0"/>
          <w:caps w:val="0"/>
          <w:color w:val="4C5157"/>
          <w:spacing w:val="0"/>
          <w:sz w:val="28"/>
          <w:szCs w:val="28"/>
          <w:u w:val="none"/>
          <w:bdr w:val="none" w:color="auto" w:sz="0" w:space="0"/>
        </w:rPr>
      </w:pPr>
    </w:p>
    <w:p>
      <w:pPr>
        <w:rPr>
          <w:sz w:val="28"/>
          <w:szCs w:val="28"/>
        </w:rPr>
      </w:pPr>
    </w:p>
    <w:p>
      <w:pPr>
        <w:rPr>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BD621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2021-03-31T09:37:39Z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