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default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  <w:t>上海城投集团有害垃圾智能化分拣中心正式投入运营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center"/>
        <w:textAlignment w:val="auto"/>
        <w:outlineLvl w:val="9"/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来源：上海市国资委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148590</wp:posOffset>
                </wp:positionV>
                <wp:extent cx="5511165" cy="444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6.5pt;margin-top:11.7pt;height:0.35pt;width:433.95pt;z-index:251659264;mso-width-relative:page;mso-height-relative:page;" filled="f" stroked="t" coordsize="21600,21600" o:gfxdata="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8GS&#10;uNgAAAAJAQAADwAAAAAAAAABACAAAAAiAAAAZHJzL2Rvd25yZXYueG1sUEsBAhQAFAAAAAgAh07i&#10;QFerUgbpAQAA3g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4680"/>
        </w:tabs>
        <w:kinsoku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480" w:firstLineChars="200"/>
        <w:jc w:val="left"/>
        <w:textAlignment w:val="auto"/>
        <w:rPr>
          <w:rFonts w:hint="eastAsia" w:ascii="宋体" w:hAnsi="宋体" w:cs="宋体"/>
          <w:snapToGrid w:val="0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  <w:lang w:val="en-US" w:eastAsia="zh-CN"/>
        </w:rPr>
        <w:t>近日，上海城投集团虎林有害垃圾分拣中心正式投入运营。该中心位于城投环境虎林生活垃圾转运中心内，建筑面积600平方米。</w:t>
      </w:r>
    </w:p>
    <w:p>
      <w:pPr>
        <w:keepNext w:val="0"/>
        <w:keepLines w:val="0"/>
        <w:pageBreakBefore w:val="0"/>
        <w:tabs>
          <w:tab w:val="left" w:pos="4680"/>
        </w:tabs>
        <w:kinsoku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480" w:firstLineChars="200"/>
        <w:jc w:val="left"/>
        <w:textAlignment w:val="auto"/>
        <w:rPr>
          <w:rFonts w:hint="eastAsia" w:ascii="宋体" w:hAnsi="宋体" w:cs="宋体"/>
          <w:snapToGrid w:val="0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  <w:lang w:val="en-US" w:eastAsia="zh-CN"/>
        </w:rPr>
        <w:t>虎林有害垃圾分拣中心主体分为智能分拣与智慧仓储两大功能车间，具备8个品类有害垃圾的收运、分拣和预处理能力。智能分拣车间具有废旧电池、废弃药品分拣，废油漆桶压缩打包，废油漆、废矿物油残液收集等功能，减少了人与废电池的直接接触，为传统手工分拣模式逐步转变为自动分拣。智慧仓储车间通过智能机器人、穿梭车、升降机、分品类定制型中转容器，与自动化仓储管理软件共同组成有害垃圾智慧仓储系统，实现了有害垃圾多品类智能出入库统计和在线盘点功能。</w:t>
      </w:r>
    </w:p>
    <w:p>
      <w:pPr>
        <w:keepNext w:val="0"/>
        <w:keepLines w:val="0"/>
        <w:pageBreakBefore w:val="0"/>
        <w:tabs>
          <w:tab w:val="left" w:pos="4680"/>
        </w:tabs>
        <w:kinsoku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480" w:firstLineChars="200"/>
        <w:jc w:val="left"/>
        <w:textAlignment w:val="auto"/>
        <w:rPr>
          <w:rFonts w:hint="eastAsia" w:ascii="宋体" w:hAnsi="宋体" w:cs="宋体"/>
          <w:snapToGrid w:val="0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  <w:lang w:val="en-US" w:eastAsia="zh-CN"/>
        </w:rPr>
        <w:t>虎林有害垃圾分拣中心是上海首个集规范收运、分拣预处理、智能仓储为一体的标准化、智能化有害垃圾分拣中心，为上海市生活垃圾全程分类补齐了重要的“一块拼图”。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default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  <w:t>白云城投集团“三举措”加强企业内部管理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center"/>
        <w:textAlignment w:val="auto"/>
        <w:outlineLvl w:val="9"/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来源：贵阳网</w:t>
      </w:r>
    </w:p>
    <w:p>
      <w:pPr>
        <w:pStyle w:val="9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60960</wp:posOffset>
                </wp:positionV>
                <wp:extent cx="5511165" cy="4445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6.5pt;margin-top:4.8pt;height:0.35pt;width:433.95pt;z-index:251659264;mso-width-relative:page;mso-height-relative:page;" filled="f" stroked="t" coordsize="21600,21600" o:gfxdata="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sLNmA&#10;1wAAAAgBAAAPAAAAAAAAAAEAIAAAACIAAABkcnMvZG93bnJldi54bWxQSwECFAAUAAAACACHTuJA&#10;32TMI+kBAADe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46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left"/>
        <w:textAlignment w:val="auto"/>
        <w:rPr>
          <w:rFonts w:hint="eastAsia" w:ascii="宋体" w:hAnsi="宋体" w:cs="宋体"/>
          <w:snapToGrid w:val="0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  <w:lang w:val="en-US" w:eastAsia="zh-CN"/>
        </w:rPr>
        <w:t>为达到企业更好的发展目标，白云城投集团根据财政部、证监会、审计署，银监会和保监会联合颁布《企业内部控制基本规范》及其配套的指引，进一步完善公司内部管理机制，加强内部管理力度，健全公司内部管理体系。</w:t>
      </w:r>
    </w:p>
    <w:p>
      <w:pPr>
        <w:keepNext w:val="0"/>
        <w:keepLines w:val="0"/>
        <w:pageBreakBefore w:val="0"/>
        <w:tabs>
          <w:tab w:val="left" w:pos="46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left"/>
        <w:textAlignment w:val="auto"/>
        <w:rPr>
          <w:rFonts w:hint="eastAsia" w:ascii="宋体" w:hAnsi="宋体" w:cs="宋体"/>
          <w:snapToGrid w:val="0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  <w:lang w:val="en-US" w:eastAsia="zh-CN"/>
        </w:rPr>
        <w:t>一是完善保密制度，加强保密工作。为进一步加强公司的保密工作，白云城投集团实行“积极防范，突出重点”的工作方针，建设人事考察队(人防)、计算机系统防护网(技防)相结合的综合防范体系，保障公司核心机密安全，同时根据人事考察队对日常保密工作的考察结果，及时做好保密管理制度的完善工作，加强员工入职培训力度，与每一位公司成员签署保密协议，确保公司的薪酬标准、绩效考核标准及项目建设情况等信息不泄露。</w:t>
      </w:r>
    </w:p>
    <w:p>
      <w:pPr>
        <w:keepNext w:val="0"/>
        <w:keepLines w:val="0"/>
        <w:pageBreakBefore w:val="0"/>
        <w:tabs>
          <w:tab w:val="left" w:pos="46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left"/>
        <w:textAlignment w:val="auto"/>
        <w:rPr>
          <w:rFonts w:hint="eastAsia" w:ascii="宋体" w:hAnsi="宋体" w:cs="宋体"/>
          <w:snapToGrid w:val="0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  <w:lang w:val="en-US" w:eastAsia="zh-CN"/>
        </w:rPr>
        <w:t>二是加强指标分析，解决财务难题。白云城投集团通过对公司的各项财务指标进行计算、预测、和整理，从数据中对公司的财务状况进行分析，剖析出公司的财务问题，财务工作人员针对财务难题制定相关解决方案，全面保障公司的财务工作不出状况。</w:t>
      </w:r>
    </w:p>
    <w:p>
      <w:pPr>
        <w:tabs>
          <w:tab w:val="left" w:pos="4680"/>
        </w:tabs>
        <w:spacing w:line="560" w:lineRule="exact"/>
        <w:ind w:firstLine="482"/>
        <w:jc w:val="left"/>
        <w:rPr>
          <w:rFonts w:hint="eastAsia" w:ascii="宋体" w:hAnsi="宋体" w:cs="宋体"/>
          <w:snapToGrid w:val="0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  <w:lang w:val="en-US" w:eastAsia="zh-CN"/>
        </w:rPr>
        <w:t>三是加强监管力度，提高工作效率。白云城投集团通过加强项目责任制，确保项目步步落实到人，同时通过公司内部办公系统对项目进行系统化管理，以高效率，高实施为标准，确保公司各在建项目能在期限内完成。</w:t>
      </w:r>
    </w:p>
    <w:p>
      <w:pP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right"/>
        <w:textAlignment w:val="auto"/>
        <w:outlineLvl w:val="9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海口市城市建设投资有限公司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right"/>
        <w:textAlignment w:val="auto"/>
        <w:outlineLvl w:val="9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2021</w:t>
      </w: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28</w:t>
      </w:r>
      <w:bookmarkStart w:id="0" w:name="_GoBack"/>
      <w:bookmarkEnd w:id="0"/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right"/>
        <w:textAlignment w:val="auto"/>
        <w:outlineLvl w:val="9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711B6"/>
    <w:rsid w:val="02E9239D"/>
    <w:rsid w:val="03802FAA"/>
    <w:rsid w:val="05605221"/>
    <w:rsid w:val="07183EFD"/>
    <w:rsid w:val="0B49215B"/>
    <w:rsid w:val="0C1510B5"/>
    <w:rsid w:val="0C323478"/>
    <w:rsid w:val="0C8B726C"/>
    <w:rsid w:val="0CCF11AA"/>
    <w:rsid w:val="106814C6"/>
    <w:rsid w:val="11242915"/>
    <w:rsid w:val="11B2016B"/>
    <w:rsid w:val="11B25936"/>
    <w:rsid w:val="11C26D1D"/>
    <w:rsid w:val="135711B6"/>
    <w:rsid w:val="1C077BB4"/>
    <w:rsid w:val="1D644D34"/>
    <w:rsid w:val="21AF5AE2"/>
    <w:rsid w:val="21D167FF"/>
    <w:rsid w:val="24093C83"/>
    <w:rsid w:val="25140E91"/>
    <w:rsid w:val="2661183B"/>
    <w:rsid w:val="26D66E8E"/>
    <w:rsid w:val="298433C2"/>
    <w:rsid w:val="29894E55"/>
    <w:rsid w:val="2B4E6124"/>
    <w:rsid w:val="2BC96687"/>
    <w:rsid w:val="2CC17CB9"/>
    <w:rsid w:val="2DCF4E54"/>
    <w:rsid w:val="2DFB280F"/>
    <w:rsid w:val="2ECA5F7D"/>
    <w:rsid w:val="2F1D4CC3"/>
    <w:rsid w:val="32E50573"/>
    <w:rsid w:val="364879E2"/>
    <w:rsid w:val="387E2BC0"/>
    <w:rsid w:val="3AD010DD"/>
    <w:rsid w:val="3CEB33CD"/>
    <w:rsid w:val="42D84824"/>
    <w:rsid w:val="44FD6564"/>
    <w:rsid w:val="467D421D"/>
    <w:rsid w:val="480B25EE"/>
    <w:rsid w:val="4890330D"/>
    <w:rsid w:val="48D21008"/>
    <w:rsid w:val="4CEB02D2"/>
    <w:rsid w:val="53410626"/>
    <w:rsid w:val="55B1257D"/>
    <w:rsid w:val="5B951F4C"/>
    <w:rsid w:val="5E0D378B"/>
    <w:rsid w:val="5EBB0E8D"/>
    <w:rsid w:val="5F1E5AC5"/>
    <w:rsid w:val="602C7E0F"/>
    <w:rsid w:val="60C01E77"/>
    <w:rsid w:val="61140174"/>
    <w:rsid w:val="64CF6463"/>
    <w:rsid w:val="678E1AC9"/>
    <w:rsid w:val="6CE1567F"/>
    <w:rsid w:val="70594F33"/>
    <w:rsid w:val="713016CA"/>
    <w:rsid w:val="72662AEE"/>
    <w:rsid w:val="767203B6"/>
    <w:rsid w:val="782A0984"/>
    <w:rsid w:val="783E0425"/>
    <w:rsid w:val="7CE10643"/>
    <w:rsid w:val="7DDA2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ind w:firstLine="420"/>
      <w:jc w:val="both"/>
    </w:pPr>
    <w:rPr>
      <w:kern w:val="2"/>
      <w:sz w:val="21"/>
      <w:szCs w:val="24"/>
    </w:rPr>
  </w:style>
  <w:style w:type="paragraph" w:styleId="3">
    <w:name w:val="Body Text Indent"/>
    <w:basedOn w:val="1"/>
    <w:qFormat/>
    <w:uiPriority w:val="0"/>
    <w:pPr>
      <w:ind w:left="420" w:leftChars="200"/>
    </w:pPr>
    <w:rPr>
      <w:kern w:val="2"/>
      <w:sz w:val="21"/>
      <w:szCs w:val="24"/>
    </w:rPr>
  </w:style>
  <w:style w:type="paragraph" w:styleId="6">
    <w:name w:val="Normal Indent"/>
    <w:basedOn w:val="1"/>
    <w:qFormat/>
    <w:uiPriority w:val="0"/>
    <w:pPr>
      <w:ind w:firstLine="964" w:firstLineChars="200"/>
    </w:pPr>
    <w:rPr>
      <w:sz w:val="2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16">
    <w:name w:val="Emphasis"/>
    <w:basedOn w:val="12"/>
    <w:qFormat/>
    <w:uiPriority w:val="0"/>
    <w:rPr>
      <w:i/>
    </w:rPr>
  </w:style>
  <w:style w:type="character" w:styleId="17">
    <w:name w:val="Hyperlink"/>
    <w:basedOn w:val="12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18">
    <w:name w:val="HTML Code"/>
    <w:basedOn w:val="12"/>
    <w:qFormat/>
    <w:uiPriority w:val="0"/>
    <w:rPr>
      <w:rFonts w:ascii="Courier New" w:hAnsi="Courier New"/>
      <w:sz w:val="20"/>
    </w:rPr>
  </w:style>
  <w:style w:type="character" w:styleId="19">
    <w:name w:val="HTML Cite"/>
    <w:basedOn w:val="12"/>
    <w:qFormat/>
    <w:uiPriority w:val="0"/>
    <w:rPr>
      <w:i/>
    </w:rPr>
  </w:style>
  <w:style w:type="character" w:customStyle="1" w:styleId="20">
    <w:name w:val="bds_more"/>
    <w:basedOn w:val="12"/>
    <w:qFormat/>
    <w:uiPriority w:val="0"/>
  </w:style>
  <w:style w:type="character" w:customStyle="1" w:styleId="21">
    <w:name w:val="bds_nopic"/>
    <w:basedOn w:val="12"/>
    <w:qFormat/>
    <w:uiPriority w:val="0"/>
  </w:style>
  <w:style w:type="character" w:customStyle="1" w:styleId="22">
    <w:name w:val="bds_nopic1"/>
    <w:basedOn w:val="12"/>
    <w:qFormat/>
    <w:uiPriority w:val="0"/>
  </w:style>
  <w:style w:type="character" w:customStyle="1" w:styleId="23">
    <w:name w:val="bds_nopic2"/>
    <w:basedOn w:val="12"/>
    <w:qFormat/>
    <w:uiPriority w:val="0"/>
  </w:style>
  <w:style w:type="character" w:customStyle="1" w:styleId="24">
    <w:name w:val="current"/>
    <w:basedOn w:val="12"/>
    <w:qFormat/>
    <w:uiPriority w:val="0"/>
    <w:rPr>
      <w:b/>
      <w:color w:val="666666"/>
      <w:bdr w:val="single" w:color="E0E0E0" w:sz="6" w:space="0"/>
      <w:shd w:val="clear" w:fill="F0F0F0"/>
    </w:rPr>
  </w:style>
  <w:style w:type="character" w:customStyle="1" w:styleId="25">
    <w:name w:val="disabled"/>
    <w:basedOn w:val="12"/>
    <w:qFormat/>
    <w:uiPriority w:val="0"/>
    <w:rPr>
      <w:color w:val="CCCCCC"/>
      <w:bdr w:val="single" w:color="DBDADA" w:sz="6" w:space="0"/>
    </w:rPr>
  </w:style>
  <w:style w:type="character" w:customStyle="1" w:styleId="26">
    <w:name w:val="tab_active"/>
    <w:basedOn w:val="12"/>
    <w:qFormat/>
    <w:uiPriority w:val="0"/>
    <w:rPr>
      <w:color w:val="666666"/>
    </w:rPr>
  </w:style>
  <w:style w:type="character" w:customStyle="1" w:styleId="27">
    <w:name w:val="current2"/>
    <w:basedOn w:val="12"/>
    <w:qFormat/>
    <w:uiPriority w:val="0"/>
    <w:rPr>
      <w:b/>
      <w:color w:val="666666"/>
      <w:bdr w:val="single" w:color="E0E0E0" w:sz="6" w:space="0"/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2017-02-24T02:28:00Z</dcterms:created>
  <dc:creator>lenovo</dc:creator>
  <cp:lastModifiedBy>嘤嘤嘤^^</cp:lastModifiedBy>
  <dcterms:modified xsi:type="dcterms:W3CDTF">2021-04-07T01:30:25Z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94D68A1A2BAA4D88B8E1D5E94F87C7FD</vt:lpwstr>
  </property>
</Properties>
</file>