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云南城投获股权注入：云南世博旅游、云南文投各注入49%股权</w:t>
      </w: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来源：中国网地产</w:t>
      </w: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7216;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中国网地产讯 9月21日，云南城投官微发布消息称，云南城投集团获股权注入。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按照省委、省政府统一部署，云南省将云南世博旅游控股集团有限公司（下称：云南世博旅游集团）49%的股权、云南文化产业投资控股集团有限责任公司（下称：云南文投集团）49%的股权注入云南城投集团。</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此次股权注入是省委、省政府进一步做强做优云南城投集团，发挥云南城投集团在文化旅游和健康服务两个万亿级产业的引领带动作用，推动云南全力打造世界一流“健康生活目的地”的重要举措之一。</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云南城投集团是省国资委直接监管的省属骨干企业，拥有国内AAA信用评级，是云南省文化旅游和健康服务两个万亿级产业的龙头企业。云南世博旅游集团和云南文投集团是央地合作打造的混合所有制新国企，是云南省文化旅游产业发展的骨干企业和重大文旅项目的实施主体。</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云南城投集团负责人表示，云南省委、省政府把两个重要文旅企业的股权注入后，将进一步增强云南城投集团在云南省文旅康养产业的示范引领作用。云南城投集团将依托现有丰富的景区、酒店、会展、旅游康养小镇等文化旅游资源，与云南世博旅游集团和云南文投集团等省内优质的文化旅游企业协同发展，有力推动云南城投集团战略转型再上新台阶，为云南文化旅游、健康服务两个万亿级产业发展的提质增速注入新动力。</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pStyle w:val="6"/>
        <w:ind w:left="0" w:leftChars="0" w:firstLine="0" w:firstLineChars="0"/>
        <w:jc w:val="center"/>
        <w:rPr>
          <w:rFonts w:hint="default" w:ascii="Arial" w:hAnsi="Arial" w:cs="Arial"/>
          <w:i w:val="0"/>
          <w:caps w:val="0"/>
          <w:color w:val="333333"/>
          <w:spacing w:val="0"/>
          <w:sz w:val="24"/>
          <w:szCs w:val="24"/>
          <w:shd w:val="clear" w:fill="FFFFFF"/>
        </w:rPr>
      </w:pPr>
      <w:r>
        <w:rPr>
          <w:rFonts w:hint="eastAsia" w:ascii="宋体" w:hAnsi="宋体" w:eastAsiaTheme="minorEastAsia" w:cstheme="minorBidi"/>
          <w:b/>
          <w:snapToGrid w:val="0"/>
          <w:color w:val="FF0000"/>
          <w:kern w:val="0"/>
          <w:sz w:val="36"/>
          <w:szCs w:val="36"/>
          <w:shd w:val="clear" w:color="auto" w:fill="FFFFFF"/>
          <w:lang w:val="en-US" w:eastAsia="zh-CN" w:bidi="ar-SA"/>
        </w:rPr>
        <w:t>城投公司资产百强榜发布：天津城投居首</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来源：21世纪经济报道</w:t>
      </w:r>
    </w:p>
    <w:p>
      <w:pPr>
        <w:pStyle w:val="2"/>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7216;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9月17日，全国城投公司百强榜单发布。榜单显示，城投资产规模（以2019年末总资产计）最大的仍为天津城投集团，总资产8314.51亿元，连续多年蝉联排行榜首位。</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排名第二、第三的仍为上海城投集团和北京基投公司，二者在上一年资产规模基础上突破6000亿元。前三甲均为直辖市城投公司，这三家公司的总资产规模为20,902亿元，占到全国城投公司总资产的11.73%。</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前三甲之外，合肥建投排名最靠前，之后依次为珠海华发、厦门建发、武汉城投、宜宾国资、云南城投和青岛城投。（详细榜单附后）</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该榜单是《城投蓝皮书》内容当中的一部分，由中国现代集团撰写并发布。资产规模是衡量城投公司的一个重要因素。城投资产规模的整合做大，不仅有利于地方国有资本投资运营主体的打造，盘活地方国有资产资源，对地方债务化解和产业发展也能起到一定的促进作用。</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中国现代集团董事长、现代研究院院长丁伯康表示，七年前城投公司的总资产规模如果达到1000亿元，就可以排在第十位。而在今年，城投公司总资产规模达到1000亿元的话，也只能排在第49名。这说明，全国城投公司个体的资产规模在不断增大，城投公司整体的综合实力也在逐年增强。</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近年来，地方政府为支持和推动全国城投公司转型发展，整合重组做大做强地方城投公司已发展成为一种趋势。在此趋势背景下，各地城投公司借助地方政府的政策支持，整合注入地方优质资产、资源，整合重组地方不同类型的平台公司、国有企业等，不仅迅速壮大了城投公司的资产规模，同时也不同程度地优化了城投公司的资产质量。</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经过统计，225个样本城投公司合计总资产178,138.38亿元，平均每个城投公司的总资产规模791.70亿元。资产在平均资产规模之上的公司共计70家，占比31.1%，低于791.7亿元的公司有155家，占比68.9%。不难看出，我国城投公司的资产规模呈现前端少数大型城投公司遥遥领先、后端城投公司小而散的分布形态。</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总资产百强榜单中，合计总资产140,107.88亿元，占所有样本的比重为78.65%，百强的门槛已经由上一年的454亿元提高到570亿元。总资产前50强中，合计总资产101,665.84亿元，占所有样本的比重为57.07%，50强的门槛已经由上一年的860亿元提高到983亿元，预计明年50强将不再有百亿级的城投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在百强榜单中，江苏、安徽、江西、湖南、湖北、浙江、山东等华东、华中地区入围城投公司数量较多，可以看出这些省份在发挥城投公司支持地方城市基础设施建设和经济发展方面的作用较为显著。</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pStyle w:val="2"/>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2020</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9</w:t>
      </w:r>
      <w:bookmarkStart w:id="0" w:name="_GoBack"/>
      <w:bookmarkEnd w:id="0"/>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B49215B"/>
    <w:rsid w:val="0C1510B5"/>
    <w:rsid w:val="0C323478"/>
    <w:rsid w:val="0C8B726C"/>
    <w:rsid w:val="0CCF11AA"/>
    <w:rsid w:val="106814C6"/>
    <w:rsid w:val="11242915"/>
    <w:rsid w:val="11B2016B"/>
    <w:rsid w:val="11B25936"/>
    <w:rsid w:val="11C26D1D"/>
    <w:rsid w:val="135711B6"/>
    <w:rsid w:val="1C077BB4"/>
    <w:rsid w:val="1D644D34"/>
    <w:rsid w:val="21D167FF"/>
    <w:rsid w:val="24093C83"/>
    <w:rsid w:val="25140E91"/>
    <w:rsid w:val="2661183B"/>
    <w:rsid w:val="26D66E8E"/>
    <w:rsid w:val="298433C2"/>
    <w:rsid w:val="29894E55"/>
    <w:rsid w:val="2B4E6124"/>
    <w:rsid w:val="2BC96687"/>
    <w:rsid w:val="2CC17CB9"/>
    <w:rsid w:val="2DCF4E54"/>
    <w:rsid w:val="2ECA5F7D"/>
    <w:rsid w:val="2F1D4CC3"/>
    <w:rsid w:val="364879E2"/>
    <w:rsid w:val="387E2BC0"/>
    <w:rsid w:val="3AD010DD"/>
    <w:rsid w:val="3CEB33CD"/>
    <w:rsid w:val="42D84824"/>
    <w:rsid w:val="467D421D"/>
    <w:rsid w:val="480B25EE"/>
    <w:rsid w:val="48D21008"/>
    <w:rsid w:val="4CEB02D2"/>
    <w:rsid w:val="53410626"/>
    <w:rsid w:val="55B1257D"/>
    <w:rsid w:val="5B951F4C"/>
    <w:rsid w:val="5E0D378B"/>
    <w:rsid w:val="5EBB0E8D"/>
    <w:rsid w:val="5F1E5AC5"/>
    <w:rsid w:val="602C7E0F"/>
    <w:rsid w:val="60C01E77"/>
    <w:rsid w:val="64CF6463"/>
    <w:rsid w:val="6CE1567F"/>
    <w:rsid w:val="70594F33"/>
    <w:rsid w:val="713016CA"/>
    <w:rsid w:val="72662AEE"/>
    <w:rsid w:val="767203B6"/>
    <w:rsid w:val="782A0984"/>
    <w:rsid w:val="7CE10643"/>
    <w:rsid w:val="7DDA2A9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jc w:val="both"/>
    </w:pPr>
    <w:rPr>
      <w:kern w:val="2"/>
      <w:sz w:val="21"/>
      <w:szCs w:val="24"/>
    </w:rPr>
  </w:style>
  <w:style w:type="paragraph" w:styleId="3">
    <w:name w:val="Body Text Indent"/>
    <w:basedOn w:val="1"/>
    <w:qFormat/>
    <w:uiPriority w:val="0"/>
    <w:pPr>
      <w:ind w:left="420" w:leftChars="200"/>
    </w:pPr>
    <w:rPr>
      <w:kern w:val="2"/>
      <w:sz w:val="21"/>
      <w:szCs w:val="24"/>
    </w:rPr>
  </w:style>
  <w:style w:type="paragraph" w:styleId="6">
    <w:name w:val="Normal Indent"/>
    <w:basedOn w:val="1"/>
    <w:qFormat/>
    <w:uiPriority w:val="0"/>
    <w:pPr>
      <w:ind w:firstLine="964" w:firstLineChars="200"/>
    </w:pPr>
    <w:rPr>
      <w:sz w:val="2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rFonts w:hint="eastAsia" w:ascii="宋体" w:hAnsi="宋体" w:eastAsia="宋体" w:cs="宋体"/>
      <w:color w:val="333333"/>
      <w:u w:val="none"/>
    </w:rPr>
  </w:style>
  <w:style w:type="character" w:styleId="14">
    <w:name w:val="Emphasis"/>
    <w:basedOn w:val="10"/>
    <w:qFormat/>
    <w:uiPriority w:val="0"/>
    <w:rPr>
      <w:i/>
    </w:rPr>
  </w:style>
  <w:style w:type="character" w:styleId="15">
    <w:name w:val="Hyperlink"/>
    <w:basedOn w:val="10"/>
    <w:qFormat/>
    <w:uiPriority w:val="0"/>
    <w:rPr>
      <w:rFonts w:hint="eastAsia" w:ascii="宋体" w:hAnsi="宋体" w:eastAsia="宋体" w:cs="宋体"/>
      <w:color w:val="333333"/>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rPr>
      <w:i/>
    </w:rPr>
  </w:style>
  <w:style w:type="character" w:customStyle="1" w:styleId="19">
    <w:name w:val="bds_more"/>
    <w:basedOn w:val="10"/>
    <w:qFormat/>
    <w:uiPriority w:val="0"/>
  </w:style>
  <w:style w:type="character" w:customStyle="1" w:styleId="20">
    <w:name w:val="bds_nopic"/>
    <w:basedOn w:val="10"/>
    <w:qFormat/>
    <w:uiPriority w:val="0"/>
  </w:style>
  <w:style w:type="character" w:customStyle="1" w:styleId="21">
    <w:name w:val="bds_nopic1"/>
    <w:basedOn w:val="10"/>
    <w:qFormat/>
    <w:uiPriority w:val="0"/>
  </w:style>
  <w:style w:type="character" w:customStyle="1" w:styleId="22">
    <w:name w:val="bds_nopic2"/>
    <w:basedOn w:val="10"/>
    <w:qFormat/>
    <w:uiPriority w:val="0"/>
  </w:style>
  <w:style w:type="character" w:customStyle="1" w:styleId="23">
    <w:name w:val="current"/>
    <w:basedOn w:val="10"/>
    <w:qFormat/>
    <w:uiPriority w:val="0"/>
    <w:rPr>
      <w:b/>
      <w:color w:val="666666"/>
      <w:bdr w:val="single" w:color="E0E0E0" w:sz="6" w:space="0"/>
      <w:shd w:val="clear" w:fill="F0F0F0"/>
    </w:rPr>
  </w:style>
  <w:style w:type="character" w:customStyle="1" w:styleId="24">
    <w:name w:val="disabled"/>
    <w:basedOn w:val="10"/>
    <w:qFormat/>
    <w:uiPriority w:val="0"/>
    <w:rPr>
      <w:color w:val="CCCCCC"/>
      <w:bdr w:val="single" w:color="DBDADA" w:sz="6" w:space="0"/>
    </w:rPr>
  </w:style>
  <w:style w:type="character" w:customStyle="1" w:styleId="25">
    <w:name w:val="tab_active"/>
    <w:basedOn w:val="10"/>
    <w:qFormat/>
    <w:uiPriority w:val="0"/>
    <w:rPr>
      <w:color w:val="666666"/>
    </w:rPr>
  </w:style>
  <w:style w:type="character" w:customStyle="1" w:styleId="26">
    <w:name w:val="current2"/>
    <w:basedOn w:val="10"/>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王碧云</cp:lastModifiedBy>
  <dcterms:modified xsi:type="dcterms:W3CDTF">2020-11-13T08:38:29Z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