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both"/>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上海城投集团积极落实中小企业租金减免</w:t>
      </w:r>
    </w:p>
    <w:p>
      <w:pPr>
        <w:pStyle w:val="2"/>
        <w:rPr>
          <w:rFonts w:hint="eastAsia"/>
          <w:lang w:val="en-US" w:eastAsia="zh-CN"/>
        </w:rPr>
      </w:pPr>
    </w:p>
    <w:p>
      <w:pPr>
        <w:pStyle w:val="4"/>
        <w:keepNext w:val="0"/>
        <w:keepLines w:val="0"/>
        <w:widowControl/>
        <w:suppressLineNumbers w:val="0"/>
        <w:shd w:val="clear" w:fill="FFFFFF"/>
        <w:spacing w:before="0" w:beforeAutospacing="0" w:after="150" w:afterAutospacing="0" w:line="600" w:lineRule="atLeast"/>
        <w:ind w:left="0" w:right="0" w:firstLine="0"/>
        <w:jc w:val="center"/>
        <w:rPr>
          <w:rFonts w:hint="eastAsia" w:ascii="宋体" w:hAnsi="宋体" w:cs="宋体" w:eastAsiaTheme="minorEastAsia"/>
          <w:b w:val="0"/>
          <w:snapToGrid w:val="0"/>
          <w:color w:val="000000"/>
          <w:kern w:val="0"/>
          <w:sz w:val="24"/>
          <w:szCs w:val="24"/>
          <w:lang w:val="en-US" w:eastAsia="zh-CN" w:bidi="ar-SA"/>
        </w:rPr>
      </w:pPr>
      <w:r>
        <w:rPr>
          <w:rFonts w:hint="eastAsia"/>
          <w:lang w:val="en-US" w:eastAsia="zh-CN"/>
        </w:rPr>
        <w:t xml:space="preserve"> </w:t>
      </w:r>
      <w:r>
        <w:rPr>
          <w:rFonts w:hint="eastAsia" w:ascii="宋体" w:hAnsi="宋体" w:cs="宋体" w:eastAsiaTheme="minorEastAsia"/>
          <w:b w:val="0"/>
          <w:snapToGrid w:val="0"/>
          <w:color w:val="000000"/>
          <w:kern w:val="0"/>
          <w:sz w:val="24"/>
          <w:szCs w:val="24"/>
          <w:lang w:val="en-US" w:eastAsia="zh-CN" w:bidi="ar-SA"/>
        </w:rPr>
        <w:t>来源：上海市国有资产监督管理委员会</w:t>
      </w:r>
    </w:p>
    <w:p>
      <w:pPr>
        <w:pStyle w:val="2"/>
        <w:rPr>
          <w:rFonts w:hint="default" w:ascii="宋体" w:hAnsi="宋体" w:cs="宋体" w:eastAsiaTheme="minorEastAsia"/>
          <w:b w:val="0"/>
          <w:snapToGrid w:val="0"/>
          <w:color w:val="000000"/>
          <w:kern w:val="0"/>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114300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85pt;margin-top:9pt;height:0.35pt;width:433.95pt;z-index:251657216;mso-width-relative:page;mso-height-relative:page;" filled="f" stroked="t" coordsize="21600,21600" o:gfxdata="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iT2tQAAAAHAQAADwAAAAAAAAABACAAAAAiAAAAZHJz&#10;L2Rvd25yZXYueG1sUEsBAhQAFAAAAAgAh07iQFGHW7DPAQAAkAMAAA4AAAAAAAAAAQAgAAAAIwEA&#10;AGRycy9lMm9Eb2MueG1sUEsFBgAAAAAGAAYAWQEAAGQFA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eastAsiaTheme="minorEastAsia"/>
          <w:b w:val="0"/>
          <w:snapToGrid w:val="0"/>
          <w:color w:val="000000"/>
          <w:kern w:val="0"/>
          <w:sz w:val="24"/>
          <w:szCs w:val="24"/>
          <w:lang w:val="en-US" w:eastAsia="zh-CN" w:bidi="ar-SA"/>
        </w:rPr>
      </w:pPr>
      <w:r>
        <w:rPr>
          <w:rFonts w:hint="eastAsia" w:ascii="宋体" w:hAnsi="宋体" w:cs="宋体" w:eastAsiaTheme="minorEastAsia"/>
          <w:b w:val="0"/>
          <w:snapToGrid w:val="0"/>
          <w:color w:val="000000"/>
          <w:kern w:val="0"/>
          <w:sz w:val="24"/>
          <w:szCs w:val="24"/>
          <w:lang w:val="en-US" w:eastAsia="zh-CN" w:bidi="ar-SA"/>
        </w:rPr>
        <w:t>前期，上海城投集团全面落实减租工作，为广大非国有中小企业及个体工商户减负，稳妥有序推进企业复工复产。</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eastAsiaTheme="minorEastAsia"/>
          <w:b w:val="0"/>
          <w:snapToGrid w:val="0"/>
          <w:color w:val="000000"/>
          <w:kern w:val="0"/>
          <w:sz w:val="24"/>
          <w:szCs w:val="24"/>
          <w:lang w:val="en-US" w:eastAsia="zh-CN" w:bidi="ar-SA"/>
        </w:rPr>
        <w:t>截至3月底，上海城投集团在此次减免政策中所涉及的预减免中小企</w:t>
      </w:r>
      <w:r>
        <w:rPr>
          <w:rFonts w:hint="eastAsia" w:ascii="宋体" w:hAnsi="宋体" w:cs="宋体"/>
          <w:snapToGrid w:val="0"/>
          <w:color w:val="000000"/>
          <w:kern w:val="0"/>
          <w:sz w:val="24"/>
          <w:lang w:val="en-US" w:eastAsia="zh-CN"/>
        </w:rPr>
        <w:t>业约349家（含个体工商户），面积30.68万平方米，涉及减免租金约1.16亿元。目前租户递交申请材料并已受理251家，通过审核147家，完成减免租金约2264万元。由于部分租户未正常营业，未递交申请材料，预计6月30日前完成全部房租减免工作。</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安徽各地市城投潜在主体信用质量两极化</w:t>
      </w:r>
    </w:p>
    <w:p>
      <w:pPr>
        <w:pStyle w:val="2"/>
        <w:rPr>
          <w:rFonts w:hint="eastAsia"/>
          <w:lang w:val="en-US" w:eastAsia="zh-CN"/>
        </w:rPr>
      </w:pPr>
    </w:p>
    <w:p>
      <w:pPr>
        <w:pStyle w:val="2"/>
        <w:ind w:left="0" w:leftChars="0" w:firstLine="0" w:firstLineChars="0"/>
        <w:jc w:val="center"/>
        <w:rPr>
          <w:rFonts w:hint="eastAsia"/>
          <w:lang w:val="en-US" w:eastAsia="zh-CN"/>
        </w:rPr>
      </w:pPr>
      <w:r>
        <w:rPr>
          <w:rFonts w:hint="eastAsia"/>
          <w:lang w:val="en-US" w:eastAsia="zh-CN"/>
        </w:rPr>
        <w:t>来源：新浪财经</w:t>
      </w:r>
    </w:p>
    <w:p>
      <w:pPr>
        <w:pStyle w:val="2"/>
        <w:ind w:left="0" w:leftChars="0" w:firstLine="0" w:firstLineChars="0"/>
        <w:jc w:val="cente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207010</wp:posOffset>
                </wp:positionV>
                <wp:extent cx="5511165" cy="4445"/>
                <wp:effectExtent l="0" t="0" r="0" b="0"/>
                <wp:wrapNone/>
                <wp:docPr id="3"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9pt;margin-top:16.3pt;height:0.35pt;width:433.95pt;z-index:251657216;mso-width-relative:page;mso-height-relative:page;" filled="f" stroked="t" coordsize="21600,21600" o:gfxdata="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8Esq1QAAAAcBAAAPAAAAAAAAAAEAIAAAACIAAABk&#10;cnMvZG93bnJldi54bWxQSwECFAAUAAAACACHTuJA7aUevtABAACQAwAADgAAAAAAAAABACAAAAAk&#10;AQAAZHJzL2Uyb0RvYy54bWxQSwUGAAAAAAYABgBZAQAAZg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标普信评近日发布的安徽区域城投报告称，安徽省城投企业的潜在主体信用质量中位数略高于全国城投的中位水平。而由于地级市政府潜在支持能力的差异，省内不同地区城投企业的潜在主体信用质量呈现了明显的两极分化态势。合肥市得益于良好的经济财政状况、相对较轻的债务水平以及良好的流动性，潜在支持能力远高于省内各市。而铜陵、马鞍山、淮南、池州、淮北、亳州、阜阳、六安由于地区经济发展相对较慢、财政状况不佳或债务规模过高等原因，其潜在支持能力可能处于省内相对较弱的水平。报告认为，安徽省部分地区的经济发展过度依赖单一资源或单一企业，可能影响其潜在支持能力的稳定性。淮南和淮北的产业结构偏重于煤炭，铜陵和马鞍山则偏重于金属冶炼，它们都是安徽省内产业结构相对较为单一的典型城市。如果煤炭、金属冶炼行业出现较大的价格波动，则可能影响这几个城市对城投企业的潜在支持能力。淮南、淮北和铜陵的经济增速均属省内相对较慢水平，马鞍山、淮北和铜陵的债务负担也是省内相对较重的。</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2020年4月29</w:t>
      </w:r>
      <w:bookmarkStart w:id="0" w:name="_GoBack"/>
      <w:bookmarkEnd w:id="0"/>
      <w:r>
        <w:rPr>
          <w:rFonts w:hint="eastAsia" w:ascii="宋体" w:hAnsi="宋体" w:cs="宋体"/>
          <w:snapToGrid w:val="0"/>
          <w:color w:val="000000"/>
          <w:kern w:val="0"/>
          <w:sz w:val="24"/>
          <w:lang w:val="en-US" w:eastAsia="zh-CN"/>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242915"/>
    <w:rsid w:val="11B2016B"/>
    <w:rsid w:val="11B25936"/>
    <w:rsid w:val="11C26D1D"/>
    <w:rsid w:val="135711B6"/>
    <w:rsid w:val="1C077BB4"/>
    <w:rsid w:val="1D644D34"/>
    <w:rsid w:val="21D167FF"/>
    <w:rsid w:val="24093C83"/>
    <w:rsid w:val="25140E91"/>
    <w:rsid w:val="2661183B"/>
    <w:rsid w:val="26D66E8E"/>
    <w:rsid w:val="298433C2"/>
    <w:rsid w:val="2B4E6124"/>
    <w:rsid w:val="2BC96687"/>
    <w:rsid w:val="2DCF4E54"/>
    <w:rsid w:val="2ECA5F7D"/>
    <w:rsid w:val="2F1D4CC3"/>
    <w:rsid w:val="387E2BC0"/>
    <w:rsid w:val="3AD010DD"/>
    <w:rsid w:val="42D84824"/>
    <w:rsid w:val="467D421D"/>
    <w:rsid w:val="480B25EE"/>
    <w:rsid w:val="48D21008"/>
    <w:rsid w:val="4CEB02D2"/>
    <w:rsid w:val="53410626"/>
    <w:rsid w:val="5E0D378B"/>
    <w:rsid w:val="5EBB0E8D"/>
    <w:rsid w:val="5F1E5AC5"/>
    <w:rsid w:val="602C7E0F"/>
    <w:rsid w:val="60C01E77"/>
    <w:rsid w:val="64CF6463"/>
    <w:rsid w:val="6CE1567F"/>
    <w:rsid w:val="70594F33"/>
    <w:rsid w:val="713016CA"/>
    <w:rsid w:val="72662AEE"/>
    <w:rsid w:val="767203B6"/>
    <w:rsid w:val="782A0984"/>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964" w:firstLineChars="200"/>
    </w:pPr>
    <w:rPr>
      <w:sz w:val="28"/>
    </w:rPr>
  </w:style>
  <w:style w:type="paragraph" w:styleId="5">
    <w:name w:val="Body Text Indent"/>
    <w:basedOn w:val="1"/>
    <w:qFormat/>
    <w:uiPriority w:val="0"/>
    <w:pPr>
      <w:ind w:left="420" w:leftChars="200"/>
    </w:pPr>
    <w:rPr>
      <w:kern w:val="2"/>
      <w:sz w:val="21"/>
      <w:szCs w:val="24"/>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next w:val="1"/>
    <w:qFormat/>
    <w:uiPriority w:val="0"/>
    <w:pPr>
      <w:widowControl w:val="0"/>
      <w:ind w:firstLine="420"/>
      <w:jc w:val="both"/>
    </w:pPr>
    <w:rPr>
      <w:kern w:val="2"/>
      <w:sz w:val="21"/>
      <w:szCs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hint="eastAsia" w:ascii="宋体" w:hAnsi="宋体" w:eastAsia="宋体" w:cs="宋体"/>
      <w:color w:val="333333"/>
      <w:u w:val="none"/>
    </w:rPr>
  </w:style>
  <w:style w:type="character" w:styleId="15">
    <w:name w:val="Emphasis"/>
    <w:basedOn w:val="11"/>
    <w:qFormat/>
    <w:uiPriority w:val="0"/>
    <w:rPr>
      <w:i/>
    </w:rPr>
  </w:style>
  <w:style w:type="character" w:styleId="16">
    <w:name w:val="Hyperlink"/>
    <w:basedOn w:val="11"/>
    <w:qFormat/>
    <w:uiPriority w:val="0"/>
    <w:rPr>
      <w:rFonts w:hint="eastAsia" w:ascii="宋体" w:hAnsi="宋体" w:eastAsia="宋体" w:cs="宋体"/>
      <w:color w:val="333333"/>
      <w:u w:val="none"/>
    </w:rPr>
  </w:style>
  <w:style w:type="character" w:styleId="17">
    <w:name w:val="HTML Code"/>
    <w:basedOn w:val="11"/>
    <w:qFormat/>
    <w:uiPriority w:val="0"/>
    <w:rPr>
      <w:rFonts w:ascii="Courier New" w:hAnsi="Courier New"/>
      <w:sz w:val="20"/>
    </w:rPr>
  </w:style>
  <w:style w:type="character" w:styleId="18">
    <w:name w:val="HTML Cite"/>
    <w:basedOn w:val="11"/>
    <w:qFormat/>
    <w:uiPriority w:val="0"/>
    <w:rPr>
      <w:i/>
    </w:rPr>
  </w:style>
  <w:style w:type="character" w:customStyle="1" w:styleId="19">
    <w:name w:val="bds_more"/>
    <w:basedOn w:val="11"/>
    <w:qFormat/>
    <w:uiPriority w:val="0"/>
  </w:style>
  <w:style w:type="character" w:customStyle="1" w:styleId="20">
    <w:name w:val="bds_nopic"/>
    <w:basedOn w:val="11"/>
    <w:qFormat/>
    <w:uiPriority w:val="0"/>
  </w:style>
  <w:style w:type="character" w:customStyle="1" w:styleId="21">
    <w:name w:val="bds_nopic1"/>
    <w:basedOn w:val="11"/>
    <w:qFormat/>
    <w:uiPriority w:val="0"/>
  </w:style>
  <w:style w:type="character" w:customStyle="1" w:styleId="22">
    <w:name w:val="bds_nopic2"/>
    <w:basedOn w:val="11"/>
    <w:qFormat/>
    <w:uiPriority w:val="0"/>
  </w:style>
  <w:style w:type="character" w:customStyle="1" w:styleId="23">
    <w:name w:val="current"/>
    <w:basedOn w:val="11"/>
    <w:qFormat/>
    <w:uiPriority w:val="0"/>
    <w:rPr>
      <w:b/>
      <w:color w:val="666666"/>
      <w:bdr w:val="single" w:color="E0E0E0" w:sz="6" w:space="0"/>
      <w:shd w:val="clear" w:fill="F0F0F0"/>
    </w:rPr>
  </w:style>
  <w:style w:type="character" w:customStyle="1" w:styleId="24">
    <w:name w:val="disabled"/>
    <w:basedOn w:val="11"/>
    <w:qFormat/>
    <w:uiPriority w:val="0"/>
    <w:rPr>
      <w:color w:val="CCCCCC"/>
      <w:bdr w:val="single" w:color="DBDADA" w:sz="6" w:space="0"/>
    </w:rPr>
  </w:style>
  <w:style w:type="character" w:customStyle="1" w:styleId="25">
    <w:name w:val="tab_active"/>
    <w:basedOn w:val="11"/>
    <w:qFormat/>
    <w:uiPriority w:val="0"/>
    <w:rPr>
      <w:color w:val="666666"/>
    </w:rPr>
  </w:style>
  <w:style w:type="character" w:customStyle="1" w:styleId="26">
    <w:name w:val="current2"/>
    <w:basedOn w:val="11"/>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2020-09-29T08:04:47Z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