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left"/>
        <w:textAlignment w:val="auto"/>
        <w:rPr>
          <w:rFonts w:hint="eastAsia" w:ascii="宋体" w:hAnsi="宋体" w:eastAsiaTheme="minorEastAsia" w:cstheme="minorBidi"/>
          <w:color w:val="000000"/>
          <w:kern w:val="2"/>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上海城投临港新片区兴港城综合开发项目启动 总投资14.75亿元</w:t>
      </w:r>
    </w:p>
    <w:p>
      <w:pPr>
        <w:pStyle w:val="2"/>
        <w:rPr>
          <w:rFonts w:hint="eastAsia" w:ascii="宋体" w:hAnsi="宋体" w:cstheme="minorBidi"/>
          <w:b/>
          <w:snapToGrid w:val="0"/>
          <w:color w:val="FF0000"/>
          <w:kern w:val="0"/>
          <w:sz w:val="36"/>
          <w:szCs w:val="36"/>
          <w:shd w:val="clear" w:color="auto" w:fill="FFFFFF"/>
          <w:lang w:val="en-US" w:eastAsia="zh-CN" w:bidi="ar-SA"/>
        </w:rPr>
      </w:pPr>
    </w:p>
    <w:p>
      <w:pPr>
        <w:pStyle w:val="2"/>
        <w:jc w:val="center"/>
        <w:rPr>
          <w:rFonts w:hint="eastAsia"/>
          <w:lang w:val="en-US" w:eastAsia="zh-CN"/>
        </w:rPr>
      </w:pPr>
      <w:r>
        <w:rPr>
          <w:rFonts w:hint="eastAsia" w:ascii="宋体" w:hAnsi="宋体" w:cstheme="minorBidi"/>
          <w:b/>
          <w:snapToGrid w:val="0"/>
          <w:color w:val="FF0000"/>
          <w:kern w:val="0"/>
          <w:sz w:val="36"/>
          <w:szCs w:val="36"/>
          <w:shd w:val="clear" w:color="auto" w:fill="FFFFFF"/>
          <w:lang w:val="en-US" w:eastAsia="zh-CN" w:bidi="ar-SA"/>
        </w:rPr>
        <w:t>来源：新浪网</w:t>
      </w:r>
    </w:p>
    <w:p>
      <w:pPr>
        <w:pStyle w:val="2"/>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7216" behindDoc="0" locked="0" layoutInCell="1" allowOverlap="1">
                <wp:simplePos x="0" y="0"/>
                <wp:positionH relativeFrom="column">
                  <wp:posOffset>196850</wp:posOffset>
                </wp:positionH>
                <wp:positionV relativeFrom="paragraph">
                  <wp:posOffset>134620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5.5pt;margin-top:10.6pt;height:0.35pt;width:433.95pt;z-index:251657216;mso-width-relative:page;mso-height-relative:page;" filled="f" stroked="t" coordsize="21600,21600" o:gfxdata="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dnxJWcOLLXo4eu3h+8/2OvszRSwJciN28bzDsM2ZqGHPtr8Jgns&#10;UPw8XvxUh8QEHTZNXddXDWeCcsvlssmU1ePdEDG9V96yHHTcaJfVQgv7D5hO0F+QfGwcmzr+tllk&#10;RqBh6Q0kCm2g8tEN5S56o+WtNibfwDjsbkxke8jtL8+5hD9g+SMbwPGEK6kMg3ZUIN85ydIxkDGO&#10;JpjnEqySnBlFA5+jgkygzXOQpN44MiEbe7IyRzsvj9SG+xD1MJITdakyZ6jtxbLziOa5+n1fmB5/&#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oBa1dcAAAAIAQAADwAAAAAAAAABACAAAAAiAAAA&#10;ZHJzL2Rvd25yZXYueG1sUEsBAhQAFAAAAAgAh07iQNlIxZXPAQAAkAMAAA4AAAAAAAAAAQAgAAAA&#10;JgEAAGRycy9lMm9Eb2MueG1sUEsFBgAAAAAGAAYAWQEAAGcFAAAAAA==&#10;">
                <v:fill on="f" focussize="0,0"/>
                <v:stroke color="#000000" joinstyle="round"/>
                <v:imagedata o:title=""/>
                <o:lock v:ext="edit" aspectratio="f"/>
              </v:line>
            </w:pict>
          </mc:Fallback>
        </mc:AlternateConten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7月10日上午，上海城投集团临港区域总部兴港大厦奠基，标志着上海城投集团兴港城综合开发项目正式启动。</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今年5、6月份，上海城投集团陆续斥资2.37亿元竞得临港新片区三个地块，拟打造成集城市建设管理、城市运营维护、区域商业配套为一体的上海城投集团兴港城综合开发项目。</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兴港城综合开发项目总建筑面积116891平方米，总投资约14.75亿元，预计2022年全部建成。</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率先奠基的兴港大厦将成为上海城投集团在临港新片区重大项目建设运营的“大脑”，建成后将发挥建设指挥中心、城市运维中心作用，实现对临港新片区内市政基础设施和公共服务的“一块屏管理”。</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兴港大厦奠基后，兴港城综合开发其他项目也将紧随其后，承担区域性商业配套功能。今年6月份，上海城投集团在临港新片区的首批四个生态环境项目已开工，总投资约76亿元。</w:t>
      </w:r>
    </w:p>
    <w:p>
      <w:pPr>
        <w:pStyle w:val="2"/>
        <w:rPr>
          <w:rFonts w:hint="eastAsia"/>
          <w:lang w:val="en-US" w:eastAsia="zh-CN"/>
        </w:rPr>
      </w:pPr>
    </w:p>
    <w:p>
      <w:pPr>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自贸港“省队”入场，三亚城投1.8亿摘得三亚10亩商务金融用地</w:t>
      </w:r>
    </w:p>
    <w:p>
      <w:pPr>
        <w:pStyle w:val="2"/>
        <w:rPr>
          <w:rFonts w:hint="eastAsia" w:ascii="宋体" w:hAnsi="宋体" w:eastAsiaTheme="minorEastAsia" w:cstheme="minorBidi"/>
          <w:b/>
          <w:snapToGrid w:val="0"/>
          <w:color w:val="FF0000"/>
          <w:kern w:val="0"/>
          <w:sz w:val="36"/>
          <w:szCs w:val="36"/>
          <w:shd w:val="clear" w:color="auto" w:fill="FFFFFF"/>
          <w:lang w:val="en-US" w:eastAsia="zh-CN" w:bidi="ar-SA"/>
        </w:rPr>
      </w:pPr>
    </w:p>
    <w:p>
      <w:pPr>
        <w:jc w:val="center"/>
        <w:rPr>
          <w:rFonts w:hint="eastAsia" w:ascii="宋体" w:hAnsi="宋体" w:cstheme="minorBidi"/>
          <w:b/>
          <w:snapToGrid w:val="0"/>
          <w:color w:val="FF0000"/>
          <w:kern w:val="0"/>
          <w:sz w:val="36"/>
          <w:szCs w:val="36"/>
          <w:shd w:val="clear" w:color="auto" w:fill="FFFFFF"/>
          <w:lang w:val="en-US" w:eastAsia="zh-CN" w:bidi="ar-SA"/>
        </w:rPr>
      </w:pPr>
      <w:r>
        <w:rPr>
          <w:rFonts w:hint="eastAsia" w:ascii="宋体" w:hAnsi="宋体" w:cstheme="minorBidi"/>
          <w:b/>
          <w:snapToGrid w:val="0"/>
          <w:color w:val="FF0000"/>
          <w:kern w:val="0"/>
          <w:sz w:val="36"/>
          <w:szCs w:val="36"/>
          <w:shd w:val="clear" w:color="auto" w:fill="FFFFFF"/>
          <w:lang w:val="en-US" w:eastAsia="zh-CN" w:bidi="ar-SA"/>
        </w:rPr>
        <w:t>来源：网易海南房产</w:t>
      </w:r>
    </w:p>
    <w:p>
      <w:pPr>
        <w:pStyle w:val="2"/>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7216" behindDoc="0" locked="0" layoutInCell="1" allowOverlap="1">
                <wp:simplePos x="0" y="0"/>
                <wp:positionH relativeFrom="column">
                  <wp:posOffset>-100330</wp:posOffset>
                </wp:positionH>
                <wp:positionV relativeFrom="paragraph">
                  <wp:posOffset>126365</wp:posOffset>
                </wp:positionV>
                <wp:extent cx="5511165" cy="4445"/>
                <wp:effectExtent l="0" t="0" r="0" b="0"/>
                <wp:wrapNone/>
                <wp:docPr id="5"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9pt;margin-top:9.95pt;height:0.35pt;width:433.95pt;z-index:251657216;mso-width-relative:page;mso-height-relative:page;" filled="f" stroked="t" coordsize="21600,21600" o:gfxdata="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j5hhjYAAAACQEAAA8AAAAAAAAAAQAgAAAAIgAA&#10;AGRycy9kb3ducmV2LnhtbFBLAQIUABQAAAAIAIdO4kBlaoCbzwEAAJADAAAOAAAAAAAAAAEAIAAA&#10;ACcBAABkcnMvZTJvRG9jLnhtbFBLBQYAAAAABgAGAFkBAABoBQAAAAA=&#10;">
                <v:fill on="f" focussize="0,0"/>
                <v:stroke color="#000000" joinstyle="round"/>
                <v:imagedata o:title=""/>
                <o:lock v:ext="edit" aspectratio="f"/>
              </v:line>
            </w:pict>
          </mc:Fallback>
        </mc:AlternateConten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7月13日，海南省资源资源和规划厅公示了一宗土地成交，海南国企三亚城市投资建设集团有限公司，以18135万元竞得三亚市中心城区10亩地块，土地用途为商务金融用地，容积率≤4，高度≤80米，将建设高端商务办公项目。</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据了解，该地块毗邻三亚中央商务区，二者地段价值几无二致。今年2月，中铁建在三亚总部经济区东岸单元拿下的34亩地块，亩均单价为1823万元。7月3日公示的这宗地块亩均单价就达到1813万元，二者仅相差10万元。</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r>
        <w:rPr>
          <w:rFonts w:hint="eastAsia" w:ascii="宋体" w:hAnsi="宋体" w:cs="宋体"/>
          <w:snapToGrid w:val="0"/>
          <w:color w:val="000000"/>
          <w:kern w:val="0"/>
          <w:sz w:val="24"/>
          <w:lang w:val="en-US" w:eastAsia="zh-CN"/>
        </w:rPr>
        <w:t>据公开信息显示，三亚城投是三亚市人民政府直属国有法人独资公司，截至2017年6月，总资产达678亿元，拥有全资或控股子公司15家，参股公司4家，托管公司1家。三亚棚户区改造、“双修”“双城”、崖州中心渔港、南山货运港一期等省市重点项目皆由三亚城投担纲建设。今年来，三亚共挂牌中心城区6宗土地，总面积28万平，拟建遥感科技展览、高端商业综合体、国际文化艺术交流综合体、民办学校等项目。</w:t>
      </w:r>
    </w:p>
    <w:p>
      <w:pPr>
        <w:pStyle w:val="2"/>
        <w:rPr>
          <w:rFonts w:hint="eastAsia" w:ascii="宋体" w:hAnsi="宋体" w:eastAsiaTheme="minorEastAsia" w:cstheme="minorBidi"/>
          <w:color w:val="000000"/>
          <w:kern w:val="2"/>
          <w:sz w:val="24"/>
          <w:szCs w:val="24"/>
          <w:lang w:val="en-US" w:eastAsia="zh-CN" w:bidi="ar-SA"/>
        </w:rPr>
      </w:pPr>
    </w:p>
    <w:p>
      <w:pPr>
        <w:rPr>
          <w:rFonts w:hint="eastAsia" w:ascii="宋体" w:hAnsi="宋体" w:eastAsiaTheme="minorEastAsia" w:cstheme="minorBidi"/>
          <w:color w:val="000000"/>
          <w:kern w:val="2"/>
          <w:sz w:val="24"/>
          <w:szCs w:val="24"/>
          <w:lang w:val="en-US" w:eastAsia="zh-CN" w:bidi="ar-SA"/>
        </w:rPr>
      </w:pPr>
    </w:p>
    <w:p>
      <w:pPr>
        <w:pStyle w:val="2"/>
        <w:rPr>
          <w:rFonts w:hint="eastAsia" w:ascii="宋体" w:hAnsi="宋体" w:eastAsiaTheme="minorEastAsia" w:cstheme="minorBidi"/>
          <w:color w:val="000000"/>
          <w:kern w:val="2"/>
          <w:sz w:val="24"/>
          <w:szCs w:val="24"/>
          <w:lang w:val="en-US" w:eastAsia="zh-CN" w:bidi="ar-SA"/>
        </w:rPr>
      </w:pPr>
    </w:p>
    <w:p>
      <w:pPr>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right"/>
        <w:textAlignment w:val="auto"/>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right"/>
        <w:textAlignment w:val="auto"/>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w:t>
      </w:r>
      <w:r>
        <w:rPr>
          <w:rFonts w:hint="eastAsia" w:ascii="宋体" w:hAnsi="宋体" w:cstheme="minorBidi"/>
          <w:color w:val="000000"/>
          <w:kern w:val="2"/>
          <w:sz w:val="24"/>
          <w:szCs w:val="24"/>
          <w:lang w:val="en-US" w:eastAsia="zh-CN" w:bidi="ar-SA"/>
        </w:rPr>
        <w:t>20</w:t>
      </w:r>
      <w:r>
        <w:rPr>
          <w:rFonts w:hint="eastAsia" w:ascii="宋体" w:hAnsi="宋体" w:eastAsiaTheme="minorEastAsia" w:cstheme="minorBidi"/>
          <w:color w:val="000000"/>
          <w:kern w:val="2"/>
          <w:sz w:val="24"/>
          <w:szCs w:val="24"/>
          <w:lang w:val="en-US" w:eastAsia="zh-CN" w:bidi="ar-SA"/>
        </w:rPr>
        <w:t>年</w:t>
      </w:r>
      <w:r>
        <w:rPr>
          <w:rFonts w:hint="eastAsia" w:ascii="宋体" w:hAnsi="宋体" w:cstheme="minorBidi"/>
          <w:color w:val="000000"/>
          <w:kern w:val="2"/>
          <w:sz w:val="24"/>
          <w:szCs w:val="24"/>
          <w:lang w:val="en-US" w:eastAsia="zh-CN" w:bidi="ar-SA"/>
        </w:rPr>
        <w:t>7</w:t>
      </w:r>
      <w:bookmarkStart w:id="0" w:name="_GoBack"/>
      <w:bookmarkEnd w:id="0"/>
      <w:r>
        <w:rPr>
          <w:rFonts w:hint="eastAsia" w:ascii="宋体" w:hAnsi="宋体" w:eastAsiaTheme="minorEastAsia" w:cstheme="minorBidi"/>
          <w:color w:val="000000"/>
          <w:kern w:val="2"/>
          <w:sz w:val="24"/>
          <w:szCs w:val="24"/>
          <w:lang w:val="en-US" w:eastAsia="zh-CN" w:bidi="ar-SA"/>
        </w:rPr>
        <w:t>月</w:t>
      </w:r>
      <w:r>
        <w:rPr>
          <w:rFonts w:hint="eastAsia" w:ascii="宋体" w:hAnsi="宋体" w:cstheme="minorBidi"/>
          <w:color w:val="000000"/>
          <w:kern w:val="2"/>
          <w:sz w:val="24"/>
          <w:szCs w:val="24"/>
          <w:lang w:val="en-US" w:eastAsia="zh-CN" w:bidi="ar-SA"/>
        </w:rPr>
        <w:t>29</w:t>
      </w:r>
      <w:r>
        <w:rPr>
          <w:rFonts w:hint="eastAsia" w:ascii="宋体" w:hAnsi="宋体" w:eastAsiaTheme="minorEastAsia" w:cstheme="minorBidi"/>
          <w:color w:val="000000"/>
          <w:kern w:val="2"/>
          <w:sz w:val="24"/>
          <w:szCs w:val="24"/>
          <w:lang w:val="en-US" w:eastAsia="zh-CN" w:bidi="ar-SA"/>
        </w:rPr>
        <w:t>日</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right"/>
        <w:textAlignment w:val="auto"/>
        <w:rPr>
          <w:rFonts w:hint="eastAsia" w:ascii="宋体" w:hAnsi="宋体" w:eastAsiaTheme="minorEastAsia" w:cstheme="minorBidi"/>
          <w:color w:val="000000"/>
          <w:kern w:val="2"/>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3802FAA"/>
    <w:rsid w:val="05605221"/>
    <w:rsid w:val="0B49215B"/>
    <w:rsid w:val="0C1510B5"/>
    <w:rsid w:val="0C323478"/>
    <w:rsid w:val="0C8B726C"/>
    <w:rsid w:val="0CCF11AA"/>
    <w:rsid w:val="106814C6"/>
    <w:rsid w:val="11B2016B"/>
    <w:rsid w:val="11B25936"/>
    <w:rsid w:val="11C26D1D"/>
    <w:rsid w:val="135711B6"/>
    <w:rsid w:val="1C077BB4"/>
    <w:rsid w:val="1D644D34"/>
    <w:rsid w:val="21D167FF"/>
    <w:rsid w:val="24093C83"/>
    <w:rsid w:val="25140E91"/>
    <w:rsid w:val="2661183B"/>
    <w:rsid w:val="26D66E8E"/>
    <w:rsid w:val="298433C2"/>
    <w:rsid w:val="2B4E6124"/>
    <w:rsid w:val="2BC96687"/>
    <w:rsid w:val="2DCF4E54"/>
    <w:rsid w:val="2ECA5F7D"/>
    <w:rsid w:val="2F1D4CC3"/>
    <w:rsid w:val="387E2BC0"/>
    <w:rsid w:val="3AD010DD"/>
    <w:rsid w:val="42D84824"/>
    <w:rsid w:val="467D421D"/>
    <w:rsid w:val="48D21008"/>
    <w:rsid w:val="4CEB02D2"/>
    <w:rsid w:val="53410626"/>
    <w:rsid w:val="5E0D378B"/>
    <w:rsid w:val="5EBB0E8D"/>
    <w:rsid w:val="5F1E5AC5"/>
    <w:rsid w:val="602C7E0F"/>
    <w:rsid w:val="60C01E77"/>
    <w:rsid w:val="6CE1567F"/>
    <w:rsid w:val="70594F33"/>
    <w:rsid w:val="713016CA"/>
    <w:rsid w:val="72662AEE"/>
    <w:rsid w:val="767203B6"/>
    <w:rsid w:val="782A0984"/>
    <w:rsid w:val="7CE10643"/>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ind w:firstLine="420"/>
      <w:jc w:val="both"/>
    </w:pPr>
    <w:rPr>
      <w:kern w:val="2"/>
      <w:sz w:val="21"/>
      <w:szCs w:val="24"/>
    </w:rPr>
  </w:style>
  <w:style w:type="paragraph" w:styleId="3">
    <w:name w:val="Body Text Indent"/>
    <w:basedOn w:val="1"/>
    <w:qFormat/>
    <w:uiPriority w:val="0"/>
    <w:pPr>
      <w:ind w:left="420" w:leftChars="200"/>
    </w:pPr>
    <w:rPr>
      <w:kern w:val="2"/>
      <w:sz w:val="21"/>
      <w:szCs w:val="24"/>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character" w:styleId="13">
    <w:name w:val="FollowedHyperlink"/>
    <w:basedOn w:val="10"/>
    <w:qFormat/>
    <w:uiPriority w:val="0"/>
    <w:rPr>
      <w:rFonts w:hint="eastAsia" w:ascii="宋体" w:hAnsi="宋体" w:eastAsia="宋体" w:cs="宋体"/>
      <w:color w:val="333333"/>
      <w:u w:val="none"/>
    </w:rPr>
  </w:style>
  <w:style w:type="character" w:styleId="14">
    <w:name w:val="Emphasis"/>
    <w:basedOn w:val="10"/>
    <w:qFormat/>
    <w:uiPriority w:val="0"/>
    <w:rPr>
      <w:i/>
    </w:rPr>
  </w:style>
  <w:style w:type="character" w:styleId="15">
    <w:name w:val="Hyperlink"/>
    <w:basedOn w:val="10"/>
    <w:qFormat/>
    <w:uiPriority w:val="0"/>
    <w:rPr>
      <w:rFonts w:hint="eastAsia" w:ascii="宋体" w:hAnsi="宋体" w:eastAsia="宋体" w:cs="宋体"/>
      <w:color w:val="333333"/>
      <w:u w:val="none"/>
    </w:rPr>
  </w:style>
  <w:style w:type="character" w:styleId="16">
    <w:name w:val="HTML Code"/>
    <w:basedOn w:val="10"/>
    <w:qFormat/>
    <w:uiPriority w:val="0"/>
    <w:rPr>
      <w:rFonts w:ascii="Courier New" w:hAnsi="Courier New"/>
      <w:sz w:val="20"/>
    </w:rPr>
  </w:style>
  <w:style w:type="character" w:styleId="17">
    <w:name w:val="HTML Cite"/>
    <w:basedOn w:val="10"/>
    <w:qFormat/>
    <w:uiPriority w:val="0"/>
    <w:rPr>
      <w:i/>
    </w:rPr>
  </w:style>
  <w:style w:type="character" w:customStyle="1" w:styleId="18">
    <w:name w:val="bds_more"/>
    <w:basedOn w:val="10"/>
    <w:qFormat/>
    <w:uiPriority w:val="0"/>
  </w:style>
  <w:style w:type="character" w:customStyle="1" w:styleId="19">
    <w:name w:val="bds_nopic"/>
    <w:basedOn w:val="10"/>
    <w:qFormat/>
    <w:uiPriority w:val="0"/>
  </w:style>
  <w:style w:type="character" w:customStyle="1" w:styleId="20">
    <w:name w:val="bds_nopic1"/>
    <w:basedOn w:val="10"/>
    <w:qFormat/>
    <w:uiPriority w:val="0"/>
  </w:style>
  <w:style w:type="character" w:customStyle="1" w:styleId="21">
    <w:name w:val="bds_nopic2"/>
    <w:basedOn w:val="10"/>
    <w:qFormat/>
    <w:uiPriority w:val="0"/>
  </w:style>
  <w:style w:type="character" w:customStyle="1" w:styleId="22">
    <w:name w:val="current"/>
    <w:basedOn w:val="10"/>
    <w:qFormat/>
    <w:uiPriority w:val="0"/>
    <w:rPr>
      <w:b/>
      <w:color w:val="666666"/>
      <w:bdr w:val="single" w:color="E0E0E0" w:sz="6" w:space="0"/>
      <w:shd w:val="clear" w:fill="F0F0F0"/>
    </w:rPr>
  </w:style>
  <w:style w:type="character" w:customStyle="1" w:styleId="23">
    <w:name w:val="disabled"/>
    <w:basedOn w:val="10"/>
    <w:qFormat/>
    <w:uiPriority w:val="0"/>
    <w:rPr>
      <w:color w:val="CCCCCC"/>
      <w:bdr w:val="single" w:color="DBDADA" w:sz="6" w:space="0"/>
    </w:rPr>
  </w:style>
  <w:style w:type="character" w:customStyle="1" w:styleId="24">
    <w:name w:val="tab_active"/>
    <w:basedOn w:val="10"/>
    <w:qFormat/>
    <w:uiPriority w:val="0"/>
    <w:rPr>
      <w:color w:val="666666"/>
    </w:rPr>
  </w:style>
  <w:style w:type="character" w:customStyle="1" w:styleId="25">
    <w:name w:val="current2"/>
    <w:basedOn w:val="10"/>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Administrator</cp:lastModifiedBy>
  <dcterms:modified xsi:type="dcterms:W3CDTF">2020-09-29T07:37:02Z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