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80"/>
        </w:tabs>
        <w:spacing w:line="500" w:lineRule="exact"/>
        <w:jc w:val="lef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textAlignment w:val="baseline"/>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住建部科技中心、清华大学CSC、华锦城投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textAlignment w:val="baseline"/>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达成战</w:t>
      </w:r>
      <w:r>
        <w:rPr>
          <w:rFonts w:hint="eastAsia" w:ascii="宋体" w:hAnsi="宋体" w:eastAsiaTheme="minorEastAsia" w:cstheme="minorBidi"/>
          <w:b/>
          <w:snapToGrid w:val="0"/>
          <w:color w:val="FF0000"/>
          <w:kern w:val="0"/>
          <w:sz w:val="36"/>
          <w:szCs w:val="36"/>
          <w:shd w:val="clear" w:color="auto" w:fill="FFFFFF"/>
          <w:lang w:val="en-US" w:eastAsia="zh-CN" w:bidi="ar-SA"/>
        </w:rPr>
        <w:t>略合作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textAlignment w:val="baseline"/>
        <w:rPr>
          <w:rFonts w:hint="default" w:ascii="宋体" w:hAnsi="宋体" w:eastAsiaTheme="minorEastAsia" w:cstheme="minorBidi"/>
          <w:b w:val="0"/>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textAlignment w:val="baseline"/>
        <w:rPr>
          <w:rFonts w:hint="default" w:ascii="宋体" w:hAnsi="宋体" w:eastAsiaTheme="minorEastAsia" w:cstheme="minorBidi"/>
          <w:b w:val="0"/>
          <w:color w:val="000000"/>
          <w:kern w:val="2"/>
          <w:sz w:val="24"/>
          <w:szCs w:val="24"/>
          <w:lang w:val="en-US" w:eastAsia="zh-CN" w:bidi="ar-SA"/>
        </w:rPr>
      </w:pPr>
      <w:r>
        <w:rPr>
          <w:rFonts w:hint="default" w:ascii="宋体" w:hAnsi="宋体" w:eastAsiaTheme="minorEastAsia" w:cstheme="minorBidi"/>
          <w:b w:val="0"/>
          <w:color w:val="000000"/>
          <w:kern w:val="2"/>
          <w:sz w:val="24"/>
          <w:szCs w:val="24"/>
          <w:lang w:val="en-US" w:eastAsia="zh-CN" w:bidi="ar-SA"/>
        </w:rPr>
        <w:t>来源：界面新闻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textAlignment w:val="baseline"/>
        <w:rPr>
          <w:rFonts w:hint="default" w:ascii="宋体" w:hAnsi="宋体" w:eastAsiaTheme="minorEastAsia" w:cstheme="minorBidi"/>
          <w:b w:val="0"/>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-182880</wp:posOffset>
                </wp:positionH>
                <wp:positionV relativeFrom="paragraph">
                  <wp:posOffset>58420</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4.4pt;margin-top:4.6pt;height:0.35pt;width:433.95pt;z-index:-822084608;mso-width-relative:page;mso-height-relative:page;" filled="f" stroked="t" coordsize="21600,21600" o:gfxdata="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WCHsD1QAAAAcBAAAPAAAAAAAAAAEAIAAAACIAAABk&#10;cnMvZG93bnJldi54bWxQSwECFAAUAAAACACHTuJA7aUevtABAACQAwAADgAAAAAAAAABACAAAAAk&#10;AQAAZHJzL2Uyb0RvYy54bWxQSwUGAAAAAAYABgBZAQAAZgUAAAAA&#10;">
                <v:fill on="f" focussize="0,0"/>
                <v:stroke color="#000000" joinstyle="round"/>
                <v:imagedata o:title=""/>
                <o:lock v:ext="edit" aspectratio="f"/>
              </v:lin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11月7日，在第十八届住博会开幕见面会上，住房和城乡建设部科技与产业化发展中心与清华大学建筑学院可持续住区研究中心（简称“清华大学CSC”）、华锦益泰城投置业（北京）有限公司（简称“华锦城投”），正式签署了《关于共同推进绿色数字人居产业发展模式研究》的战略合作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签署此次战略合作后，三方将就推动人居坏境由传统人居转型为绿色数字人居等方面达成共识与合作，利用各自在不同领域的资源和经验，共同研究绿色数字人居产业发展模式。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清华大学建筑学院目前已成立了可持续住区研究中心，采用人工智能及大数据技术，面向未来人居进行创新研究，并经过五年探索，取得了若干学术成果、专利技术和产业实践成果。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在将绿色数字人居理念落地发展和产业实践方面，华锦城投是企业力量中代表。华锦城投作为华锦集团的下属企业，业务专注于城市更新及产城开发领域。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textAlignment w:val="baseline"/>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融创152亿元收购云南城投两子公司51%股权 涉成都环球中心</w:t>
      </w:r>
    </w:p>
    <w:p>
      <w:pPr>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来源：红星新闻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198120</wp:posOffset>
                </wp:positionH>
                <wp:positionV relativeFrom="paragraph">
                  <wp:posOffset>184150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6pt;margin-top:14.5pt;height:0.35pt;width:433.95pt;z-index:-822084608;mso-width-relative:page;mso-height-relative:page;" filled="f" stroked="t" coordsize="21600,21600" o:gfxdata="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GGMweWWvTw9dvD9x/sdfZmCtgS5MZt43mHYRuz0EMfbX6TBHYo&#10;fh4vfqpDYoIOm6au6ysiFpRbLpdNpqwe74aI6b3yluWg40a7rBZa2H/AdIL+guRj49jU8bfNIjMC&#10;DUtvIFFoA5WPbih30Rstb7Ux+QbGYXdjIttDbn95ziX8Acsf2QCOJ1xJZRi0owL5zkmWjoGMcTTB&#10;PJdgleTMKBr4HBVkAm2egyT1xpEJ2diTlTnaeXmkNtyHqIeRnKhLlTlDbS+WnUc0z9Xv+8L0+CO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0Ga1m1gAAAAgBAAAPAAAAAAAAAAEAIAAAACIAAABk&#10;cnMvZG93bnJldi54bWxQSwECFAAUAAAACACHTuJAZWqAm88BAACQAwAADgAAAAAAAAABACAAAAAl&#10;AQAAZHJzL2Uyb0RvYy54bWxQSwUGAAAAAAYABgBZAQAAZgUAAAAA&#10;">
                <v:fill on="f" focussize="0,0"/>
                <v:stroke color="#000000" joinstyle="round"/>
                <v:imagedata o:title=""/>
                <o:lock v:ext="edit" aspectratio="f"/>
              </v:lin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红星新闻记者刚刚获悉，融创中国11月27日下午正式披露收购成都环球中心和世纪城新国际会展中心的合作安排。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根据安排，融创西南集团将从云南城投集团收购成都环球世纪会展旅游集团有限公司（成都世纪城新国际会展中心公司主体，以下简称“环球世纪”）、成都时代环球实业有限公司（成都环球中心公司主体，以下简称“时代环球”）51%股份，作价人民币152.69亿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据悉，环球世纪及时代环球主要从事地产项目的开发运营，在成都、武汉、长沙、昆明等城市共开发18个目标项目，总建筑面积约为3,071.6万平方米，可售建筑面积约为2,771.6万平方米，约占总建筑面积的90%。截至本公告日期，未售建筑面积约为2,390.1万平方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11</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29</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18030">
    <w:altName w:val="微软雅黑"/>
    <w:panose1 w:val="02010609060101010101"/>
    <w:charset w:val="00"/>
    <w:family w:val="modern"/>
    <w:pitch w:val="default"/>
    <w:sig w:usb0="00000000" w:usb1="00000000" w:usb2="000A005E" w:usb3="00000000" w:csb0="00040001" w:csb1="00000000"/>
  </w:font>
  <w:font w:name="PingFangSC-Medium">
    <w:altName w:val="Times New Roman"/>
    <w:panose1 w:val="00000000000000000000"/>
    <w:charset w:val="00"/>
    <w:family w:val="roman"/>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77A646B"/>
    <w:rsid w:val="1C077BB4"/>
    <w:rsid w:val="1D644D34"/>
    <w:rsid w:val="21D167FF"/>
    <w:rsid w:val="24093C83"/>
    <w:rsid w:val="25140E91"/>
    <w:rsid w:val="26D66E8E"/>
    <w:rsid w:val="270B458D"/>
    <w:rsid w:val="298433C2"/>
    <w:rsid w:val="2B4E6124"/>
    <w:rsid w:val="2BC96687"/>
    <w:rsid w:val="2DCF4E54"/>
    <w:rsid w:val="2ECA5F7D"/>
    <w:rsid w:val="2F1D4CC3"/>
    <w:rsid w:val="387E2BC0"/>
    <w:rsid w:val="3AD010DD"/>
    <w:rsid w:val="3F4669CC"/>
    <w:rsid w:val="42D84824"/>
    <w:rsid w:val="467D421D"/>
    <w:rsid w:val="48D21008"/>
    <w:rsid w:val="4CEB02D2"/>
    <w:rsid w:val="53410626"/>
    <w:rsid w:val="5EBB0E8D"/>
    <w:rsid w:val="5F1E5AC5"/>
    <w:rsid w:val="602C7E0F"/>
    <w:rsid w:val="60C01E77"/>
    <w:rsid w:val="61FA0B8F"/>
    <w:rsid w:val="6CE1567F"/>
    <w:rsid w:val="6DD76459"/>
    <w:rsid w:val="70594F33"/>
    <w:rsid w:val="713016CA"/>
    <w:rsid w:val="72662AEE"/>
    <w:rsid w:val="767203B6"/>
    <w:rsid w:val="782A0984"/>
    <w:rsid w:val="7CE10643"/>
    <w:rsid w:val="7DB94557"/>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333333"/>
      <w:u w:val="none"/>
    </w:rPr>
  </w:style>
  <w:style w:type="character" w:styleId="10">
    <w:name w:val="Emphasis"/>
    <w:basedOn w:val="7"/>
    <w:qFormat/>
    <w:uiPriority w:val="0"/>
    <w:rPr>
      <w:i/>
    </w:rPr>
  </w:style>
  <w:style w:type="character" w:styleId="11">
    <w:name w:val="Hyperlink"/>
    <w:basedOn w:val="7"/>
    <w:qFormat/>
    <w:uiPriority w:val="0"/>
    <w:rPr>
      <w:rFonts w:hint="eastAsia" w:ascii="宋体" w:hAnsi="宋体" w:eastAsia="宋体" w:cs="宋体"/>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rPr>
      <w:i/>
    </w:rPr>
  </w:style>
  <w:style w:type="character" w:customStyle="1" w:styleId="15">
    <w:name w:val="bds_more"/>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b/>
      <w:color w:val="666666"/>
      <w:bdr w:val="single" w:color="E0E0E0" w:sz="6" w:space="0"/>
      <w:shd w:val="clear" w:fill="F0F0F0"/>
    </w:rPr>
  </w:style>
  <w:style w:type="character" w:customStyle="1" w:styleId="20">
    <w:name w:val="disabled"/>
    <w:basedOn w:val="7"/>
    <w:qFormat/>
    <w:uiPriority w:val="0"/>
    <w:rPr>
      <w:color w:val="CCCCCC"/>
      <w:bdr w:val="single" w:color="DBDADA" w:sz="6" w:space="0"/>
    </w:rPr>
  </w:style>
  <w:style w:type="character" w:customStyle="1" w:styleId="21">
    <w:name w:val="tab_active"/>
    <w:basedOn w:val="7"/>
    <w:qFormat/>
    <w:uiPriority w:val="0"/>
    <w:rPr>
      <w:color w:val="666666"/>
    </w:rPr>
  </w:style>
  <w:style w:type="character" w:customStyle="1" w:styleId="22">
    <w:name w:val="current2"/>
    <w:basedOn w:val="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2020-01-19T01:32:14Z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