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80"/>
        </w:tabs>
        <w:spacing w:line="500" w:lineRule="exact"/>
        <w:jc w:val="lef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p>
    <w:p>
      <w:pPr>
        <w:pStyle w:val="4"/>
        <w:keepNext w:val="0"/>
        <w:keepLines w:val="0"/>
        <w:widowControl/>
        <w:suppressLineNumbers w:val="0"/>
        <w:shd w:val="clear" w:fill="FFFFFF"/>
        <w:spacing w:before="0" w:beforeAutospacing="0" w:after="495" w:afterAutospacing="0"/>
        <w:ind w:left="0" w:firstLine="0"/>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云南城投拟转让昆明、东莞等4项目部分股权予保利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来源：</w:t>
      </w:r>
      <w:r>
        <w:rPr>
          <w:rFonts w:hint="default" w:ascii="宋体" w:hAnsi="宋体" w:eastAsiaTheme="minorEastAsia" w:cstheme="minorBidi"/>
          <w:color w:val="000000"/>
          <w:kern w:val="2"/>
          <w:sz w:val="24"/>
          <w:szCs w:val="24"/>
          <w:lang w:val="en-US" w:eastAsia="zh-CN" w:bidi="ar-SA"/>
        </w:rPr>
        <w:fldChar w:fldCharType="begin"/>
      </w:r>
      <w:r>
        <w:rPr>
          <w:rFonts w:hint="default" w:ascii="宋体" w:hAnsi="宋体" w:eastAsiaTheme="minorEastAsia" w:cstheme="minorBidi"/>
          <w:color w:val="000000"/>
          <w:kern w:val="2"/>
          <w:sz w:val="24"/>
          <w:szCs w:val="24"/>
          <w:lang w:val="en-US" w:eastAsia="zh-CN" w:bidi="ar-SA"/>
        </w:rPr>
        <w:instrText xml:space="preserve"> HYPERLINK "http://www.guandian.cn/article/20191021/javascript:void(0)" </w:instrText>
      </w:r>
      <w:r>
        <w:rPr>
          <w:rFonts w:hint="default" w:ascii="宋体" w:hAnsi="宋体" w:eastAsiaTheme="minorEastAsia" w:cstheme="minorBidi"/>
          <w:color w:val="000000"/>
          <w:kern w:val="2"/>
          <w:sz w:val="24"/>
          <w:szCs w:val="24"/>
          <w:lang w:val="en-US" w:eastAsia="zh-CN" w:bidi="ar-SA"/>
        </w:rPr>
        <w:fldChar w:fldCharType="separate"/>
      </w:r>
      <w:r>
        <w:rPr>
          <w:rFonts w:hint="default" w:ascii="宋体" w:hAnsi="宋体" w:eastAsiaTheme="minorEastAsia" w:cstheme="minorBidi"/>
          <w:color w:val="000000"/>
          <w:kern w:val="2"/>
          <w:sz w:val="24"/>
          <w:szCs w:val="24"/>
          <w:lang w:val="en-US" w:eastAsia="zh-CN" w:bidi="ar-SA"/>
        </w:rPr>
        <w:fldChar w:fldCharType="end"/>
      </w:r>
      <w:r>
        <w:rPr>
          <w:rFonts w:hint="default" w:ascii="宋体" w:hAnsi="宋体" w:eastAsiaTheme="minorEastAsia" w:cstheme="minorBidi"/>
          <w:color w:val="000000"/>
          <w:kern w:val="2"/>
          <w:sz w:val="24"/>
          <w:szCs w:val="24"/>
          <w:lang w:val="en-US" w:eastAsia="zh-CN" w:bidi="ar-SA"/>
        </w:rPr>
        <w:fldChar w:fldCharType="begin"/>
      </w:r>
      <w:r>
        <w:rPr>
          <w:rFonts w:hint="default" w:ascii="宋体" w:hAnsi="宋体" w:eastAsiaTheme="minorEastAsia" w:cstheme="minorBidi"/>
          <w:color w:val="000000"/>
          <w:kern w:val="2"/>
          <w:sz w:val="24"/>
          <w:szCs w:val="24"/>
          <w:lang w:val="en-US" w:eastAsia="zh-CN" w:bidi="ar-SA"/>
        </w:rPr>
        <w:instrText xml:space="preserve"> HYPERLINK "http://www.guandian.cn/" </w:instrText>
      </w:r>
      <w:r>
        <w:rPr>
          <w:rFonts w:hint="default" w:ascii="宋体" w:hAnsi="宋体" w:eastAsiaTheme="minorEastAsia" w:cstheme="minorBidi"/>
          <w:color w:val="000000"/>
          <w:kern w:val="2"/>
          <w:sz w:val="24"/>
          <w:szCs w:val="24"/>
          <w:lang w:val="en-US" w:eastAsia="zh-CN" w:bidi="ar-SA"/>
        </w:rPr>
        <w:fldChar w:fldCharType="separate"/>
      </w:r>
      <w:r>
        <w:rPr>
          <w:rFonts w:hint="default" w:ascii="宋体" w:hAnsi="宋体" w:eastAsiaTheme="minorEastAsia" w:cstheme="minorBidi"/>
          <w:color w:val="000000"/>
          <w:kern w:val="2"/>
          <w:sz w:val="24"/>
          <w:szCs w:val="24"/>
          <w:lang w:val="en-US" w:eastAsia="zh-CN" w:bidi="ar-SA"/>
        </w:rPr>
        <w:t>观点地产网</w:t>
      </w:r>
      <w:r>
        <w:rPr>
          <w:rFonts w:hint="default" w:ascii="宋体" w:hAnsi="宋体" w:eastAsiaTheme="minorEastAsia" w:cstheme="minorBidi"/>
          <w:color w:val="000000"/>
          <w:kern w:val="2"/>
          <w:sz w:val="24"/>
          <w:szCs w:val="24"/>
          <w:lang w:val="en-US" w:eastAsia="zh-CN" w:bidi="ar-SA"/>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3472882688" behindDoc="0" locked="0" layoutInCell="1" allowOverlap="1">
                <wp:simplePos x="0" y="0"/>
                <wp:positionH relativeFrom="column">
                  <wp:posOffset>-11430</wp:posOffset>
                </wp:positionH>
                <wp:positionV relativeFrom="paragraph">
                  <wp:posOffset>102870</wp:posOffset>
                </wp:positionV>
                <wp:extent cx="5511165" cy="4445"/>
                <wp:effectExtent l="0" t="0" r="0" b="0"/>
                <wp:wrapNone/>
                <wp:docPr id="1"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9pt;margin-top:8.1pt;height:0.35pt;width:433.95pt;z-index:-822084608;mso-width-relative:page;mso-height-relative:page;" filled="f" stroked="t" coordsize="21600,21600" o:gfxdata="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&#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52/Yo1gAAAAgBAAAPAAAAAAAAAAEAIAAAACIAAABk&#10;cnMvZG93bnJldi54bWxQSwECFAAUAAAACACHTuJAleCUos8BAACQAwAADgAAAAAAAAABACAAAAAl&#10;AQAAZHJzL2Uyb0RvYy54bWxQSwUGAAAAAAYABgBZAQAAZgUAAAAA&#10;">
                <v:fill on="f" focussize="0,0"/>
                <v:stroke color="#000000" joinstyle="round"/>
                <v:imagedata o:title=""/>
                <o:lock v:ext="edit" aspectratio="f"/>
              </v:line>
            </w:pict>
          </mc:Fallback>
        </mc:AlternateContent>
      </w:r>
      <w:r>
        <w:rPr>
          <w:rFonts w:hint="default" w:ascii="宋体" w:hAnsi="宋体" w:eastAsiaTheme="minorEastAsia" w:cstheme="minorBidi"/>
          <w:color w:val="000000"/>
          <w:kern w:val="2"/>
          <w:sz w:val="24"/>
          <w:szCs w:val="24"/>
          <w:lang w:val="en-US" w:eastAsia="zh-CN" w:bidi="ar-SA"/>
        </w:rPr>
        <w:fldChar w:fldCharType="begin"/>
      </w:r>
      <w:r>
        <w:rPr>
          <w:rFonts w:hint="default" w:ascii="宋体" w:hAnsi="宋体" w:eastAsiaTheme="minorEastAsia" w:cstheme="minorBidi"/>
          <w:color w:val="000000"/>
          <w:kern w:val="2"/>
          <w:sz w:val="24"/>
          <w:szCs w:val="24"/>
          <w:lang w:val="en-US" w:eastAsia="zh-CN" w:bidi="ar-SA"/>
        </w:rPr>
        <w:instrText xml:space="preserve"> HYPERLINK "http://connect.qq.com/widget/shareqq/index.html?url=http://www.guandian.cn/article/20191021/226263.html&amp;desc=%E5%88%9A%E7%9C%8B%E5%88%B0%E8%BF%99%E7%AF%87%E6%96%87%E7%AB%A0%E4%B8%8D%E9%94%99%EF%BC%8C%E6%8E%A8%E8%8D%90%E7%BB%99%E4%BD%A0%E7%9C%8B%E7%9C%8B%EF%BD%9E&amp;title=%E4%BA%91%E5%8D%97%E5%9F%8E%E6%8A%95%E6%8B%9F%E8%BD%AC%E8%AE%A9%E6%98%86%E6%98%8E%E3%80%81%E4%B8%9C%E8%8E%9E%E7%AD%894%E9%A1%B9%E7%9B%AE%E9%83%A8%E5%88%86%E8%82%A1%E6%9D%83%E4%BA%88%E4%BF%9D%E5%88%A9&amp;summary=&amp;pics=&amp;flash=&amp;site=%E8%A7%82%E7%82%B9%E5%9C%B0%E4%BA%A7%E7%BD%91&amp;style=103&amp;width=50&amp;height=16" \t "http://www.guandian.cn/article/20191021/blank" </w:instrText>
      </w:r>
      <w:r>
        <w:rPr>
          <w:rFonts w:hint="default" w:ascii="宋体" w:hAnsi="宋体" w:eastAsiaTheme="minorEastAsia" w:cstheme="minorBidi"/>
          <w:color w:val="000000"/>
          <w:kern w:val="2"/>
          <w:sz w:val="24"/>
          <w:szCs w:val="24"/>
          <w:lang w:val="en-US" w:eastAsia="zh-CN" w:bidi="ar-SA"/>
        </w:rPr>
        <w:fldChar w:fldCharType="separate"/>
      </w:r>
      <w:r>
        <w:rPr>
          <w:rFonts w:hint="default" w:ascii="宋体" w:hAnsi="宋体" w:eastAsiaTheme="minorEastAsia" w:cstheme="minorBidi"/>
          <w:color w:val="000000"/>
          <w:kern w:val="2"/>
          <w:sz w:val="24"/>
          <w:szCs w:val="24"/>
          <w:lang w:val="en-US" w:eastAsia="zh-CN" w:bidi="ar-SA"/>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云南城投置业表示，通过本次交易，公司可实现资金回收，增加公司现金流动性。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观点地产网讯：10月21日，云南城投置业股份有限公司发布公告称，公司拟将4家下属公司部分股权及债权转让予广州金地房地产开发有限公司。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观点地产新媒体查阅获悉，云南城投置业股份有限公司与广州金地、公司控股股东云南城投集团签署《合作框架协议》，有效期为自签署之日起6个月。同时，广州金地向公司支付共计人民币22亿元作为交易诚意金。云南城投置业将下属公司部分股权及债权向金地提供质押担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据此，云南城投置业拟将其持有的昆明欣江合达城市建设有限公司（下称“欣江合达”）60%股权及对应的债权、东莞云投置业有限公司（下称“东莞置业”）90%股权及对应的债权、西双版纳云城置业有限公司（下称“版纳置业”）90%股权及对应的债权、昆明市官渡区城中村改造置业有限公司（下称“官城改公司”）90%股权及对应的债权以协议转让或公开转让的方式转让给广州金地房地产开发有限公司。广州金地同意受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其中，欣江合达由公司持股70%，持有“古滇二期项目”，即位于昆明市晋宁区晋城镇新街片区21宗土地（共计1331.28亩），土地用途为住宅/商住/医疗/教育，综合容积率2.4，总计容面积192.26万平米，包含回迁房用地164.54亩，计容面积35.69万平米。目前项目正在进行售楼部及其中179.2亩住宅地块的开发建设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东莞置业由公司100%出资控股，持有“华阳花园项目”，即位于东莞市麻涌镇华阳村宗地编号2018WG021土地，土地用途为城镇住宅用地、商服用地（R2+C2二类居住用地+商业金融用地），总面积85,766.4㎡，综合容积率1.5，计容建筑面积约12.86万平方米。目前项目已于2019年4月开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版纳置业由公司持股95.24%，持有“雨林澜山项目”，即位于云南省西双版纳州景洪市旅游度假区二期曼弄枫片区2宗土地（共计845.92亩），土地用途为住宅/商业，综合容积率1.427，计容建筑面积约80.49万平方米。项目公司已开发土地391.34亩，已开工总建筑面积11.36万平方米，其中一期、二期住宅、三期A组团住宅，总计约9.05万平方米已竣工，二期商业约2.31万平方米在建。项目剩余未开发土地约454.59亩，用地性质为商住混合用地，按照目前的规划方案，商住比为1：9、容积率2.28、建筑密度11.23%、绿地率40.80%、建筑限高80米，剩余未开发土地计容建筑面积为691,626.89平方米，剩余未开发土地地上计容可售建筑面积为688,491.56平方米，其中住宅619,569.86平方米，公寓68,921.70平方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官城改公司由公司持股100%，持有“关坡二期项目”，即位于昆明市官渡区关上街道办事处J2008-058-I、J地块，土地面积共计79.19亩，用地性质为商业、住宅，目前I、J地块已竣工交付。另外，官城改公司还持有位于昆明市官渡区关上街道办事处J2008-058-C、D2、E、H1、H2、G地块，土地面积150.17亩，用地性质为商业、住宅及服务设施用地，目前该部分土地尚未动工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云南城投置业表示，通过本次交易，公司可实现资金回收，增加公司现金流动性。本次签订的《合作框架协议》仅为框架性协议，后续各项目的合作尚需交易各方进一步协商，交易能否达成存在不确定性，故公司无法判定该交易对公司2019年业绩产生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另外，据公告披露，广州金地由保利发展控股集团股份有限公司持股100%。截至2018年12月31日，广州金地的总资产77,771,102,718.55元，净资产5,811,214,629.42元，营业收入14,698,971,975.25元，净利润716,428,275.13元。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据观点地产新媒体此前报道，于2019年7月2日，云南城投发布公告披露，保利集团拟参与省城投集团层面的混合所有制改革；战略合作协议中对本次混合所有制改革的合作方式、持股比例等事项尚未明确（后续由云南省人民政府与保利集团另行协商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于10月14日，云南城投置业公告披露，为加快推进云南省人民政府与保利集团就省城投集团混合所有制改革合作事宜，保利集团卫飚获委任云南城投集团党委书记、董事长。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color w:val="000000"/>
          <w:kern w:val="2"/>
          <w:sz w:val="24"/>
          <w:szCs w:val="24"/>
          <w:lang w:val="en-US" w:eastAsia="zh-CN" w:bidi="ar-SA"/>
        </w:rPr>
        <w:t>关于此次混改，有业内人士指出，具体而言，在资金、银行授信、内部管理层面，保利集团都可给予较大支持，而在地产业务上，保利发展作为龙头房企，也可为云南城投提供丰富的渠道资源。同时，混改云南城投将为保利集团提供大量优质的土地</w:t>
      </w:r>
      <w:r>
        <w:rPr>
          <w:rFonts w:hint="eastAsia" w:ascii="宋体" w:hAnsi="宋体" w:cstheme="minorBidi"/>
          <w:color w:val="000000"/>
          <w:kern w:val="2"/>
          <w:sz w:val="24"/>
          <w:szCs w:val="24"/>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870" w:lineRule="atLeast"/>
        <w:ind w:left="0" w:right="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成都城投集团牵手康盛股份 拟打造自主品牌新能源车企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来源：每日经济新闻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both"/>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3472882688" behindDoc="0" locked="0" layoutInCell="1" allowOverlap="1">
                <wp:simplePos x="0" y="0"/>
                <wp:positionH relativeFrom="column">
                  <wp:posOffset>-49530</wp:posOffset>
                </wp:positionH>
                <wp:positionV relativeFrom="paragraph">
                  <wp:posOffset>92710</wp:posOffset>
                </wp:positionV>
                <wp:extent cx="5511165" cy="4445"/>
                <wp:effectExtent l="0" t="0" r="0" b="0"/>
                <wp:wrapNone/>
                <wp:docPr id="3"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9pt;margin-top:7.3pt;height:0.35pt;width:433.95pt;z-index:-822084608;mso-width-relative:page;mso-height-relative:page;" filled="f" stroked="t" coordsize="21600,21600" o:gfxdata="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sOoWLXAAAACAEAAA8AAAAAAAAAAQAgAAAAIgAA&#10;AGRycy9kb3ducmV2LnhtbFBLAQIUABQAAAAIAIdO4kDtpR6+0AEAAJADAAAOAAAAAAAAAAEAIAAA&#10;ACYBAABkcnMvZTJvRG9jLnhtbFBLBQYAAAAABgAGAFkBAABoBQAAAAA=&#10;">
                <v:fill on="f" focussize="0,0"/>
                <v:stroke color="#000000" joinstyle="round"/>
                <v:imagedata o:title=""/>
                <o:lock v:ext="edit" aspectratio="f"/>
              </v:line>
            </w:pict>
          </mc:Fallback>
        </mc:AlternateConten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今日（10月31日），据康盛股份（002418，SZ）公告透露，成都城投能源投资管理集团有限公司（以下简称能源集团）拟同上市公司一起打造成都自主研发、自主品牌的新能源汽车企业。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资料显示，能源集团隶属于成都城建投资管理集团有限责任公司（以下简称成都城投集团），而成都城投集团是由成都市委、市政府批准设立的国有独资企业。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在成都打造自主研发的新能源车企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今日（10月31日），康盛股份公告称，公司与能源集团就新能源汽车产业合作等事宜签订了《战略合作协议》。根据协议内容，双方拟在新能源基础设施投资建设、新能源汽车推广、新能源车辆运营等领域展开全面战略合作。同时，能源集团与康盛股份全资子公司中植一客成都汽车有限公司拟合资建设2.5万辆新能源商用车标准化厂房项目。此外，双方同意，将以标准化厂房建设项目合作为契机，未来在新能源汽车推广业务、股权投资等多方面展开全面合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对于此次合作的前景，康盛股份在公告中表示：“在未来3～5年中，公司与能源集团将共同携手，打造国际领先国内一流、成都自主研发自主品牌的新能源汽车企业。”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启信宝数据显示，能源集团由成都城投集团全资控股。成都城投集团隶属于成都市国资委，注册资本为38.5亿元。据成都城投集团官网介绍，公司于2004年6月成立，已经成为成都市资产规模最大的国有企业集团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目前，成都城投集团形成了集能源、基础设施建设、房地产、教育、建筑工业化为主业的五大板块公司，以及以土地整理、住房租赁、工程咨询、建筑材料生产供应为主业的四家专业化公司。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截至2018年底，成都城投集团资产总额达到1032亿元，净资产为235亿元；集团全年营业收入超过80亿元，利润总额超过10亿元。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成都拟大力发展新能源汽车产业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《每日经济新闻》记者注意到，对于拟合作打造的新能源汽车企业的技术路径，康盛股份并未在公告中提及。不过，从康盛股份过往发布的公告来看，公司与成都在氢能源领域似乎有比较深入的合作。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今年1月，康盛股份曾公告称，公司与成都经济技术开发区管委会、成都市龙泉驿区政府签订了《加快发展氢能产业的合作协议》，各方将共同推动氢能源产业发展。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事实上，在新能源汽车领域，康盛股份涉及业务包括纯电动客车、物流车、氢燃料电池客车等新能源商用车整车的研发、生产和销售。上市公司在2018年年报中称，其氢燃料电池客车处于行业领先地位。彼时康盛股份表示，氢燃料电池客车具备加气时间短、排放无污染、行驶里程长等优势，是近年产业发展的重点发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巧合的是，氢能新能源汽车正是成都重点发展的方向。今年10月中旬，成都市经济和信息化局、成都市发展和改革委员会等多个单位联合发布《成都市支持氢能暨新能源汽车产业发展及推广应用若干政策》（以下简称《若干政策》，从多个角度补贴支持氢能和新能源汽车产业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譬如，按照《若干政策》的要求，成都将发挥财政资金的引导作用，将成都市氢能暨新能源汽车产业发展基金纳入全市“5+5+1”产业基金中，由成都市氢能暨新能源汽车产业发展基金对股权投资机构开展的氢能暨新能源汽车产业股权投资进行跟投；将氢能暨新能源汽车产业纳入成都市企业贷款风险资金池支持范围；设立成都市氢能暨新能源汽车产业企业项目库，开展股权债权产业化专项扶持计划，加大对氢能暨新能源汽车产业的培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left"/>
        <w:rPr>
          <w:rFonts w:hint="eastAsia" w:ascii="宋体" w:hAnsi="宋体" w:cstheme="minorBidi"/>
          <w:color w:val="000000"/>
          <w:kern w:val="2"/>
          <w:sz w:val="24"/>
          <w:szCs w:val="24"/>
          <w:lang w:val="en-US" w:eastAsia="zh-CN" w:bidi="ar-SA"/>
        </w:rPr>
      </w:pP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eastAsia" w:ascii="宋体" w:hAnsi="宋体" w:eastAsiaTheme="minorEastAsia" w:cstheme="minorBidi"/>
          <w:color w:val="000000"/>
          <w:kern w:val="2"/>
          <w:sz w:val="24"/>
          <w:szCs w:val="24"/>
          <w:lang w:val="en-US" w:eastAsia="zh-CN" w:bidi="ar-SA"/>
        </w:rPr>
        <w:t>海口市城市建设投资有限公司</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w:t>
      </w:r>
      <w:r>
        <w:rPr>
          <w:rFonts w:hint="eastAsia" w:ascii="宋体" w:hAnsi="宋体" w:cstheme="minorBidi"/>
          <w:color w:val="000000"/>
          <w:kern w:val="2"/>
          <w:sz w:val="24"/>
          <w:szCs w:val="24"/>
          <w:lang w:val="en-US" w:eastAsia="zh-CN" w:bidi="ar-SA"/>
        </w:rPr>
        <w:t>9</w:t>
      </w:r>
      <w:r>
        <w:rPr>
          <w:rFonts w:hint="eastAsia" w:ascii="宋体" w:hAnsi="宋体" w:eastAsiaTheme="minorEastAsia" w:cstheme="minorBidi"/>
          <w:color w:val="000000"/>
          <w:kern w:val="2"/>
          <w:sz w:val="24"/>
          <w:szCs w:val="24"/>
          <w:lang w:val="en-US" w:eastAsia="zh-CN" w:bidi="ar-SA"/>
        </w:rPr>
        <w:t>年</w:t>
      </w:r>
      <w:r>
        <w:rPr>
          <w:rFonts w:hint="eastAsia" w:ascii="宋体" w:hAnsi="宋体" w:cstheme="minorBidi"/>
          <w:color w:val="000000"/>
          <w:kern w:val="2"/>
          <w:sz w:val="24"/>
          <w:szCs w:val="24"/>
          <w:lang w:val="en-US" w:eastAsia="zh-CN" w:bidi="ar-SA"/>
        </w:rPr>
        <w:t>10</w:t>
      </w:r>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31</w:t>
      </w:r>
      <w:bookmarkStart w:id="0" w:name="_GoBack"/>
      <w:bookmarkEnd w:id="0"/>
      <w:r>
        <w:rPr>
          <w:rFonts w:hint="eastAsia" w:ascii="宋体" w:hAnsi="宋体" w:eastAsiaTheme="minorEastAsia" w:cstheme="minorBidi"/>
          <w:color w:val="000000"/>
          <w:kern w:val="2"/>
          <w:sz w:val="24"/>
          <w:szCs w:val="24"/>
          <w:lang w:val="en-US" w:eastAsia="zh-CN" w:bidi="ar-SA"/>
        </w:rPr>
        <w:t>日</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新宋体-18030">
    <w:altName w:val="微软雅黑"/>
    <w:panose1 w:val="02010609060101010101"/>
    <w:charset w:val="00"/>
    <w:family w:val="modern"/>
    <w:pitch w:val="default"/>
    <w:sig w:usb0="00000000" w:usb1="00000000" w:usb2="000A005E" w:usb3="00000000" w:csb0="00040001" w:csb1="00000000"/>
  </w:font>
  <w:font w:name="PingFangSC-Medium">
    <w:altName w:val="Times New Roman"/>
    <w:panose1 w:val="00000000000000000000"/>
    <w:charset w:val="00"/>
    <w:family w:val="roman"/>
    <w:pitch w:val="default"/>
    <w:sig w:usb0="00000000" w:usb1="00000000" w:usb2="00000000" w:usb3="00000000" w:csb0="00040001" w:csb1="00000000"/>
  </w:font>
  <w:font w:name="Hiragino Sans GB">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B49215B"/>
    <w:rsid w:val="0C1510B5"/>
    <w:rsid w:val="0C323478"/>
    <w:rsid w:val="0C8B726C"/>
    <w:rsid w:val="0CCF11AA"/>
    <w:rsid w:val="106814C6"/>
    <w:rsid w:val="11B2016B"/>
    <w:rsid w:val="11B25936"/>
    <w:rsid w:val="11C26D1D"/>
    <w:rsid w:val="135711B6"/>
    <w:rsid w:val="1C077BB4"/>
    <w:rsid w:val="1D644D34"/>
    <w:rsid w:val="21D167FF"/>
    <w:rsid w:val="24093C83"/>
    <w:rsid w:val="25140E91"/>
    <w:rsid w:val="26D66E8E"/>
    <w:rsid w:val="270B458D"/>
    <w:rsid w:val="298433C2"/>
    <w:rsid w:val="2B4E6124"/>
    <w:rsid w:val="2BC96687"/>
    <w:rsid w:val="2DCF4E54"/>
    <w:rsid w:val="2ECA5F7D"/>
    <w:rsid w:val="2F1D4CC3"/>
    <w:rsid w:val="387E2BC0"/>
    <w:rsid w:val="3AD010DD"/>
    <w:rsid w:val="3F4669CC"/>
    <w:rsid w:val="42D84824"/>
    <w:rsid w:val="467D421D"/>
    <w:rsid w:val="48D21008"/>
    <w:rsid w:val="4CEB02D2"/>
    <w:rsid w:val="53410626"/>
    <w:rsid w:val="5EBB0E8D"/>
    <w:rsid w:val="5F1E5AC5"/>
    <w:rsid w:val="602C7E0F"/>
    <w:rsid w:val="60C01E77"/>
    <w:rsid w:val="61FA0B8F"/>
    <w:rsid w:val="6CE1567F"/>
    <w:rsid w:val="6DD76459"/>
    <w:rsid w:val="70594F33"/>
    <w:rsid w:val="713016CA"/>
    <w:rsid w:val="72662AEE"/>
    <w:rsid w:val="767203B6"/>
    <w:rsid w:val="782A0984"/>
    <w:rsid w:val="7CE10643"/>
    <w:rsid w:val="7DB94557"/>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widowControl w:val="0"/>
      <w:ind w:firstLine="420"/>
      <w:jc w:val="both"/>
    </w:pPr>
    <w:rPr>
      <w:kern w:val="2"/>
      <w:sz w:val="21"/>
      <w:szCs w:val="24"/>
    </w:rPr>
  </w:style>
  <w:style w:type="paragraph" w:styleId="3">
    <w:name w:val="Body Text Indent"/>
    <w:basedOn w:val="1"/>
    <w:qFormat/>
    <w:uiPriority w:val="0"/>
    <w:pPr>
      <w:ind w:left="420" w:leftChars="200"/>
    </w:pPr>
    <w:rPr>
      <w:kern w:val="2"/>
      <w:sz w:val="21"/>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rFonts w:hint="eastAsia" w:ascii="宋体" w:hAnsi="宋体" w:eastAsia="宋体" w:cs="宋体"/>
      <w:color w:val="333333"/>
      <w:u w:val="none"/>
    </w:rPr>
  </w:style>
  <w:style w:type="character" w:styleId="10">
    <w:name w:val="Emphasis"/>
    <w:basedOn w:val="7"/>
    <w:qFormat/>
    <w:uiPriority w:val="0"/>
    <w:rPr>
      <w:i/>
    </w:rPr>
  </w:style>
  <w:style w:type="character" w:styleId="11">
    <w:name w:val="Hyperlink"/>
    <w:basedOn w:val="7"/>
    <w:qFormat/>
    <w:uiPriority w:val="0"/>
    <w:rPr>
      <w:rFonts w:hint="eastAsia" w:ascii="宋体" w:hAnsi="宋体" w:eastAsia="宋体" w:cs="宋体"/>
      <w:color w:val="333333"/>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rPr>
      <w:i/>
    </w:rPr>
  </w:style>
  <w:style w:type="character" w:customStyle="1" w:styleId="15">
    <w:name w:val="bds_more"/>
    <w:basedOn w:val="7"/>
    <w:qFormat/>
    <w:uiPriority w:val="0"/>
  </w:style>
  <w:style w:type="character" w:customStyle="1" w:styleId="16">
    <w:name w:val="bds_nopic"/>
    <w:basedOn w:val="7"/>
    <w:qFormat/>
    <w:uiPriority w:val="0"/>
  </w:style>
  <w:style w:type="character" w:customStyle="1" w:styleId="17">
    <w:name w:val="bds_nopic1"/>
    <w:basedOn w:val="7"/>
    <w:qFormat/>
    <w:uiPriority w:val="0"/>
  </w:style>
  <w:style w:type="character" w:customStyle="1" w:styleId="18">
    <w:name w:val="bds_nopic2"/>
    <w:basedOn w:val="7"/>
    <w:qFormat/>
    <w:uiPriority w:val="0"/>
  </w:style>
  <w:style w:type="character" w:customStyle="1" w:styleId="19">
    <w:name w:val="current"/>
    <w:basedOn w:val="7"/>
    <w:qFormat/>
    <w:uiPriority w:val="0"/>
    <w:rPr>
      <w:b/>
      <w:color w:val="666666"/>
      <w:bdr w:val="single" w:color="E0E0E0" w:sz="6" w:space="0"/>
      <w:shd w:val="clear" w:fill="F0F0F0"/>
    </w:rPr>
  </w:style>
  <w:style w:type="character" w:customStyle="1" w:styleId="20">
    <w:name w:val="disabled"/>
    <w:basedOn w:val="7"/>
    <w:qFormat/>
    <w:uiPriority w:val="0"/>
    <w:rPr>
      <w:color w:val="CCCCCC"/>
      <w:bdr w:val="single" w:color="DBDADA" w:sz="6" w:space="0"/>
    </w:rPr>
  </w:style>
  <w:style w:type="character" w:customStyle="1" w:styleId="21">
    <w:name w:val="tab_active"/>
    <w:basedOn w:val="7"/>
    <w:qFormat/>
    <w:uiPriority w:val="0"/>
    <w:rPr>
      <w:color w:val="666666"/>
    </w:rPr>
  </w:style>
  <w:style w:type="character" w:customStyle="1" w:styleId="22">
    <w:name w:val="current2"/>
    <w:basedOn w:val="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2019-12-18T01:36:40Z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