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地方投融资平台转型案例分析：上海城投（集团）有限公司转型</w:t>
      </w:r>
    </w:p>
    <w:p>
      <w:pPr>
        <w:rPr>
          <w:rFonts w:hint="eastAsia"/>
          <w:lang w:val="en-US" w:eastAsia="zh-CN"/>
        </w:rPr>
      </w:pPr>
    </w:p>
    <w:p>
      <w:pPr>
        <w:tabs>
          <w:tab w:val="left" w:pos="4680"/>
        </w:tabs>
        <w:spacing w:line="500" w:lineRule="exact"/>
        <w:jc w:val="center"/>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来源：听雪财经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ind w:left="0" w:right="120" w:firstLine="0"/>
        <w:jc w:val="left"/>
        <w:rPr>
          <w:rFonts w:ascii="Arial" w:hAnsi="Arial" w:cs="Arial"/>
          <w:b w:val="0"/>
          <w:i w:val="0"/>
          <w:caps w:val="0"/>
          <w:color w:val="000000"/>
          <w:spacing w:val="0"/>
          <w:sz w:val="18"/>
          <w:szCs w:val="18"/>
        </w:rPr>
      </w:pPr>
      <w:r>
        <w:rPr>
          <w:rFonts w:hint="eastAsia" w:ascii="宋体" w:hAnsi="宋体"/>
          <w:color w:val="000000"/>
          <w:sz w:val="24"/>
        </w:rPr>
        <mc:AlternateContent>
          <mc:Choice Requires="wps">
            <w:drawing>
              <wp:anchor distT="0" distB="0" distL="114300" distR="114300" simplePos="0" relativeHeight="276823040" behindDoc="0" locked="0" layoutInCell="1" allowOverlap="1">
                <wp:simplePos x="0" y="0"/>
                <wp:positionH relativeFrom="column">
                  <wp:posOffset>74295</wp:posOffset>
                </wp:positionH>
                <wp:positionV relativeFrom="paragraph">
                  <wp:posOffset>173355</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5.85pt;margin-top:13.65pt;height:0.35pt;width:433.95pt;z-index:276823040;mso-width-relative:page;mso-height-relative:page;" filled="f" stroked="t" coordsize="21600,21600" o:gfxdata="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f+Pg71gAAAAgBAAAPAAAAAAAAAAEAIAAAACIAAABk&#10;cnMvZG93bnJldi54bWxQSwECFAAUAAAACACHTuJAUYdbsM8BAACQAwAADgAAAAAAAAABACAAAAAl&#10;AQAAZHJzL2Uyb0RvYy54bWxQSwUGAAAAAAYABgBZAQAAZgUAAAAA&#10;">
                <v:fill on="f" focussize="0,0"/>
                <v:stroke color="#000000" joinstyle="round"/>
                <v:imagedata o:title=""/>
                <o:lock v:ext="edit" aspectratio="f"/>
              </v:line>
            </w:pict>
          </mc:Fallback>
        </mc:AlternateContent>
      </w:r>
      <w:r>
        <w:rPr>
          <w:rFonts w:hint="default" w:ascii="Arial" w:hAnsi="Arial" w:eastAsia="宋体" w:cs="Arial"/>
          <w:b w:val="0"/>
          <w:i w:val="0"/>
          <w:caps w:val="0"/>
          <w:color w:val="000000"/>
          <w:spacing w:val="0"/>
          <w:kern w:val="0"/>
          <w:sz w:val="18"/>
          <w:szCs w:val="18"/>
          <w:bdr w:val="none" w:color="auto" w:sz="0" w:space="0"/>
          <w:shd w:val="clear" w:fill="FFFFFF"/>
          <w:lang w:val="en-US" w:eastAsia="zh-CN" w:bidi="ar"/>
        </w:rPr>
        <w:fldChar w:fldCharType="begin"/>
      </w:r>
      <w:r>
        <w:rPr>
          <w:rFonts w:hint="default" w:ascii="Arial" w:hAnsi="Arial" w:eastAsia="宋体" w:cs="Arial"/>
          <w:b w:val="0"/>
          <w:i w:val="0"/>
          <w:caps w:val="0"/>
          <w:color w:val="000000"/>
          <w:spacing w:val="0"/>
          <w:kern w:val="0"/>
          <w:sz w:val="18"/>
          <w:szCs w:val="18"/>
          <w:bdr w:val="none" w:color="auto" w:sz="0" w:space="0"/>
          <w:shd w:val="clear" w:fill="FFFFFF"/>
          <w:lang w:val="en-US" w:eastAsia="zh-CN" w:bidi="ar"/>
        </w:rPr>
        <w:instrText xml:space="preserve">INCLUDEPICTURE \d "https://timg01.bdimg.com/timg?pacompress&amp;imgtype=3&amp;sec=1439619614&amp;autorotate=1&amp;di=6bc46b8f5c52da8ab7b66253c4a64c51&amp;quality=90&amp;size=b200_200&amp;src=http://bos.nj.bpc.baidu.com/v1/mediaspot/9b8c64010ec81704e2afe491c27b9da8.png" \* MERGEFORMATINET </w:instrText>
      </w:r>
      <w:r>
        <w:rPr>
          <w:rFonts w:hint="default" w:ascii="Arial" w:hAnsi="Arial" w:eastAsia="宋体" w:cs="Arial"/>
          <w:b w:val="0"/>
          <w:i w:val="0"/>
          <w:caps w:val="0"/>
          <w:color w:val="000000"/>
          <w:spacing w:val="0"/>
          <w:kern w:val="0"/>
          <w:sz w:val="18"/>
          <w:szCs w:val="18"/>
          <w:bdr w:val="none" w:color="auto" w:sz="0" w:space="0"/>
          <w:shd w:val="clear" w:fill="FFFFFF"/>
          <w:lang w:val="en-US" w:eastAsia="zh-CN" w:bidi="ar"/>
        </w:rPr>
        <w:fldChar w:fldCharType="separate"/>
      </w:r>
      <w:r>
        <w:rPr>
          <w:rFonts w:hint="default" w:ascii="Arial" w:hAnsi="Arial" w:eastAsia="宋体" w:cs="Arial"/>
          <w:b w:val="0"/>
          <w:i w:val="0"/>
          <w:caps w:val="0"/>
          <w:color w:val="000000"/>
          <w:spacing w:val="0"/>
          <w:kern w:val="0"/>
          <w:sz w:val="18"/>
          <w:szCs w:val="18"/>
          <w:bdr w:val="none" w:color="auto" w:sz="0" w:space="0"/>
          <w:shd w:val="clear" w:fill="FFFFFF"/>
          <w:lang w:val="en-US" w:eastAsia="zh-CN" w:bidi="ar"/>
        </w:rPr>
        <w:drawing>
          <wp:inline distT="0" distB="0" distL="114300" distR="114300">
            <wp:extent cx="38100" cy="762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8100" cy="76200"/>
                    </a:xfrm>
                    <a:prstGeom prst="rect">
                      <a:avLst/>
                    </a:prstGeom>
                    <a:noFill/>
                    <a:ln w="9525">
                      <a:noFill/>
                    </a:ln>
                  </pic:spPr>
                </pic:pic>
              </a:graphicData>
            </a:graphic>
          </wp:inline>
        </w:drawing>
      </w:r>
      <w:r>
        <w:rPr>
          <w:rFonts w:hint="default" w:ascii="Arial" w:hAnsi="Arial" w:eastAsia="宋体" w:cs="Arial"/>
          <w:b w:val="0"/>
          <w:i w:val="0"/>
          <w:caps w:val="0"/>
          <w:color w:val="000000"/>
          <w:spacing w:val="0"/>
          <w:kern w:val="0"/>
          <w:sz w:val="18"/>
          <w:szCs w:val="18"/>
          <w:bdr w:val="none" w:color="auto" w:sz="0" w:space="0"/>
          <w:shd w:val="clear" w:fill="FFFFFF"/>
          <w:lang w:val="en-US" w:eastAsia="zh-CN" w:bidi="ar"/>
        </w:rPr>
        <w:fldChar w:fldCharType="end"/>
      </w:r>
    </w:p>
    <w:p>
      <w:pPr>
        <w:tabs>
          <w:tab w:val="left" w:pos="4680"/>
        </w:tabs>
        <w:spacing w:line="500" w:lineRule="exact"/>
        <w:jc w:val="left"/>
        <w:rPr>
          <w:rFonts w:hint="eastAsia"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eastAsia" w:ascii="宋体" w:hAnsi="宋体" w:eastAsiaTheme="minorEastAsia" w:cstheme="minorBidi"/>
          <w:color w:val="000000"/>
          <w:kern w:val="2"/>
          <w:sz w:val="24"/>
          <w:szCs w:val="24"/>
          <w:lang w:val="en-US" w:eastAsia="zh-CN" w:bidi="ar-SA"/>
        </w:rPr>
        <w:t xml:space="preserve"> </w:t>
      </w:r>
      <w:r>
        <w:rPr>
          <w:rFonts w:hint="default" w:ascii="宋体" w:hAnsi="宋体" w:eastAsiaTheme="minorEastAsia" w:cstheme="minorBidi"/>
          <w:color w:val="000000"/>
          <w:kern w:val="2"/>
          <w:sz w:val="24"/>
          <w:szCs w:val="24"/>
          <w:lang w:val="en-US" w:eastAsia="zh-CN" w:bidi="ar-SA"/>
        </w:rPr>
        <w:t>地方投融资平台是我国分税制改革与城镇化快速发展的背景下，地方政府变相融资的产物。从90年代发展至今，我国已有上千家平台公司，然而大量的平台公司，仍然仅仅是承担地方政府融资职能，参与城市基础设施的融资、投资和建设，不具备造血功能，不具有可持续发展。另一方面，各项政策对融资平台的监管力度与日俱增，平台公司转型迫在眉睫。本期通过上海城投的发展历史、转型过程等的梳理，进而理顺原地方投融资平台转型后与政府的关系发生了哪些变化？</w:t>
      </w:r>
    </w:p>
    <w:p>
      <w:pPr>
        <w:tabs>
          <w:tab w:val="left" w:pos="4680"/>
        </w:tabs>
        <w:spacing w:line="500" w:lineRule="exact"/>
        <w:jc w:val="left"/>
        <w:rPr>
          <w:rFonts w:hint="eastAsia"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default" w:ascii="宋体" w:hAnsi="宋体" w:eastAsiaTheme="minorEastAsia" w:cstheme="minorBidi"/>
          <w:color w:val="000000"/>
          <w:kern w:val="2"/>
          <w:sz w:val="24"/>
          <w:szCs w:val="24"/>
          <w:lang w:val="en-US" w:eastAsia="zh-CN" w:bidi="ar-SA"/>
        </w:rPr>
        <w:t>上海城投是肩负着“政府性投融资主体、重大项目建设主体和基础设施安全运营主体”三大职能的大型产业集团，主营业务覆盖路桥、水务、环境和置业四大板块，在上海市城市功能拓展和城市环境改善等方面发挥了重要作用。是上海市政府最重要的基础设施产业集团，在资金等方面得到了上海市财政的大力支持。主要的方式有：上海市财政局针对城投集团参与的具体项目划拨项目资本金；以偿债资金等形式划拨给上海城投用于城市基础设施项目按时还本付息；城市建设各项专项拨款。这些政府的支持为上海城投的转型提供了重要的前提。</w:t>
      </w:r>
    </w:p>
    <w:p>
      <w:pPr>
        <w:tabs>
          <w:tab w:val="left" w:pos="4680"/>
        </w:tabs>
        <w:spacing w:line="500" w:lineRule="exact"/>
        <w:jc w:val="left"/>
        <w:rPr>
          <w:rFonts w:hint="eastAsia" w:ascii="宋体" w:hAnsi="宋体" w:eastAsiaTheme="minorEastAsia" w:cstheme="minorBidi"/>
          <w:b/>
          <w:bCs/>
          <w:color w:val="000000"/>
          <w:kern w:val="2"/>
          <w:sz w:val="24"/>
          <w:szCs w:val="24"/>
          <w:lang w:val="en-US" w:eastAsia="zh-CN" w:bidi="ar-SA"/>
        </w:rPr>
      </w:pPr>
      <w:r>
        <w:rPr>
          <w:rFonts w:hint="default" w:ascii="宋体" w:hAnsi="宋体" w:eastAsiaTheme="minorEastAsia" w:cstheme="minorBidi"/>
          <w:b/>
          <w:bCs/>
          <w:color w:val="000000"/>
          <w:kern w:val="2"/>
          <w:sz w:val="24"/>
          <w:szCs w:val="24"/>
          <w:lang w:val="en-US" w:eastAsia="zh-CN" w:bidi="ar-SA"/>
        </w:rPr>
        <w:t>一、上海城投发展历史</w:t>
      </w:r>
    </w:p>
    <w:p>
      <w:pPr>
        <w:tabs>
          <w:tab w:val="left" w:pos="4680"/>
        </w:tabs>
        <w:spacing w:line="500" w:lineRule="exact"/>
        <w:jc w:val="left"/>
        <w:rPr>
          <w:rFonts w:hint="default"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default" w:ascii="宋体" w:hAnsi="宋体" w:eastAsiaTheme="minorEastAsia" w:cstheme="minorBidi"/>
          <w:color w:val="000000"/>
          <w:kern w:val="2"/>
          <w:sz w:val="24"/>
          <w:szCs w:val="24"/>
          <w:lang w:val="en-US" w:eastAsia="zh-CN" w:bidi="ar-SA"/>
        </w:rPr>
        <w:t>上海城投控股股份有限公司（以下简称“上海城投”）是由上海城投（集团）有限公司（以下简称“上海城投集团”）、上海同盛投资（集团）有限公司（以下简称“上海同盛”）和上海国际港务（集团）股份有限公司（以下简称“上港集团”）三个主体重组而成。从2014年11月开始，上述三家城投公司进入资产重组状态，这是典型的通过重组方式进行的城投平台转型案例。具体的转型及资产重组过程见</w:t>
      </w:r>
      <w:r>
        <w:rPr>
          <w:rFonts w:hint="eastAsia" w:ascii="宋体" w:hAnsi="宋体" w:cstheme="minorBidi"/>
          <w:color w:val="000000"/>
          <w:kern w:val="2"/>
          <w:sz w:val="24"/>
          <w:szCs w:val="24"/>
          <w:lang w:val="en-US" w:eastAsia="zh-CN" w:bidi="ar-SA"/>
        </w:rPr>
        <w:t>图。</w:t>
      </w:r>
    </w:p>
    <w:p>
      <w:pPr>
        <w:tabs>
          <w:tab w:val="left" w:pos="4680"/>
        </w:tabs>
        <w:spacing w:line="500" w:lineRule="exact"/>
        <w:jc w:val="left"/>
        <w:rPr>
          <w:rFonts w:hint="eastAsia"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default" w:ascii="宋体" w:hAnsi="宋体" w:eastAsiaTheme="minorEastAsia" w:cstheme="minorBidi"/>
          <w:color w:val="000000"/>
          <w:kern w:val="2"/>
          <w:sz w:val="24"/>
          <w:szCs w:val="24"/>
          <w:lang w:val="en-US" w:eastAsia="zh-CN" w:bidi="ar-SA"/>
        </w:rPr>
        <w:t>实现资产重组后，业务模式发生变化：上海同盛除持有上港集团股权外，主营业务范围主要是东海大桥与洋山深水港区工程建设及综合开发经营。同时，原内河航道和疏浚等公益性业务随相关资产一并划入上海城投集团，而其他经营性资产则进入上港集团。这一过程完成后，新组成的上海城投（集团）实现了股权的集中，且各经营板块划分更为明确。经过资产的分割和分类管理，上海城投转型为多元化的企业集团，通过经营性资产反哺公益性事业，实现了经营的可持续性，企业信用体系建立。</w:t>
      </w:r>
    </w:p>
    <w:p>
      <w:pPr>
        <w:tabs>
          <w:tab w:val="left" w:pos="4680"/>
        </w:tabs>
        <w:spacing w:line="500" w:lineRule="exact"/>
        <w:jc w:val="left"/>
        <w:rPr>
          <w:rFonts w:hint="eastAsia" w:ascii="宋体" w:hAnsi="宋体" w:eastAsiaTheme="minorEastAsia" w:cstheme="minorBidi"/>
          <w:b/>
          <w:bCs/>
          <w:color w:val="000000"/>
          <w:kern w:val="2"/>
          <w:sz w:val="24"/>
          <w:szCs w:val="24"/>
          <w:lang w:val="en-US" w:eastAsia="zh-CN" w:bidi="ar-SA"/>
        </w:rPr>
      </w:pPr>
      <w:r>
        <w:rPr>
          <w:rFonts w:hint="default" w:ascii="宋体" w:hAnsi="宋体" w:eastAsiaTheme="minorEastAsia" w:cstheme="minorBidi"/>
          <w:b/>
          <w:bCs/>
          <w:color w:val="000000"/>
          <w:kern w:val="2"/>
          <w:sz w:val="24"/>
          <w:szCs w:val="24"/>
          <w:lang w:val="en-US" w:eastAsia="zh-CN" w:bidi="ar-SA"/>
        </w:rPr>
        <w:t>二、上海城投成功转型的启示</w:t>
      </w:r>
    </w:p>
    <w:p>
      <w:pPr>
        <w:tabs>
          <w:tab w:val="left" w:pos="4680"/>
        </w:tabs>
        <w:spacing w:line="500" w:lineRule="exact"/>
        <w:jc w:val="left"/>
        <w:rPr>
          <w:rFonts w:hint="eastAsia"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default" w:ascii="宋体" w:hAnsi="宋体" w:eastAsiaTheme="minorEastAsia" w:cstheme="minorBidi"/>
          <w:color w:val="000000"/>
          <w:kern w:val="2"/>
          <w:sz w:val="24"/>
          <w:szCs w:val="24"/>
          <w:lang w:val="en-US" w:eastAsia="zh-CN" w:bidi="ar-SA"/>
        </w:rPr>
        <w:t>上海城投是专业从事城市基础设施投资、建设、运营管理的特大型国有企业集团，实行改制后上海城投将成为整个城投集团顶层的控股型国有独资公司，主要下辖路桥、水务、环境等专业化的大型产业集团，以及上海中心等直管企业。</w:t>
      </w:r>
    </w:p>
    <w:p>
      <w:pPr>
        <w:tabs>
          <w:tab w:val="left" w:pos="4680"/>
        </w:tabs>
        <w:spacing w:line="500" w:lineRule="exact"/>
        <w:jc w:val="left"/>
        <w:rPr>
          <w:rFonts w:hint="eastAsia"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从2013年审计署对上海的审计报告表明，上海的债务性资金主要用于基础设施和公益性项目投资，包括市政建设、土地收储、交通运输设施建设、保障性住房等。这部分主要是有经营收入来源作为偿债来源的优质资产，未来现金流保障程度较好。评级报告也指出，上海市政府总体债务性风险可控，因而各城投市场化程度较好，现金流保障也较为完善。</w:t>
      </w:r>
    </w:p>
    <w:p>
      <w:pPr>
        <w:tabs>
          <w:tab w:val="left" w:pos="4680"/>
        </w:tabs>
        <w:spacing w:line="500" w:lineRule="exact"/>
        <w:jc w:val="left"/>
        <w:rPr>
          <w:rFonts w:hint="eastAsia"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default" w:ascii="宋体" w:hAnsi="宋体" w:eastAsiaTheme="minorEastAsia" w:cstheme="minorBidi"/>
          <w:color w:val="000000"/>
          <w:kern w:val="2"/>
          <w:sz w:val="24"/>
          <w:szCs w:val="24"/>
          <w:lang w:val="en-US" w:eastAsia="zh-CN" w:bidi="ar-SA"/>
        </w:rPr>
        <w:t>由此可以看出：上海城投转型的基础条件较其他区县级投融资平台要好，一是上海地区的城投平台自身经营实力相对较强，不是纯粹做公益性项目的载体，相关的债务没有纳入政府性债务；二是转型过程中受到当地政府的大力支持。而大多数的区县级融资平台在成立之初就是地方政府通过注资或划拨资产成立，相比与经营性资产占主导的一般地方国企，这些平台公司的融资职能使其更具有“政府附属机构”的特征。因此，区县级地方融资平台在转型过程中更加需要地方政府转换角色，重新审视和定义转型后的平台公司与政府的关系。在此基础上应首先将资产进行分割和分类管理，其次增强自身造血功能，在承担地方政府公益性资产建设的同时，能够通过经营性现金流弥补准公益性资产资金缺口。</w:t>
      </w:r>
    </w:p>
    <w:p>
      <w:pPr>
        <w:tabs>
          <w:tab w:val="left" w:pos="4680"/>
        </w:tabs>
        <w:spacing w:line="500" w:lineRule="exact"/>
        <w:jc w:val="left"/>
        <w:rPr>
          <w:rFonts w:hint="eastAsia" w:ascii="宋体" w:hAnsi="宋体" w:eastAsiaTheme="minorEastAsia" w:cstheme="minorBidi"/>
          <w:b/>
          <w:bCs/>
          <w:color w:val="000000"/>
          <w:kern w:val="2"/>
          <w:sz w:val="24"/>
          <w:szCs w:val="24"/>
          <w:lang w:val="en-US" w:eastAsia="zh-CN" w:bidi="ar-SA"/>
        </w:rPr>
      </w:pPr>
      <w:r>
        <w:rPr>
          <w:rFonts w:hint="default" w:ascii="宋体" w:hAnsi="宋体" w:eastAsiaTheme="minorEastAsia" w:cstheme="minorBidi"/>
          <w:b/>
          <w:bCs/>
          <w:color w:val="000000"/>
          <w:kern w:val="2"/>
          <w:sz w:val="24"/>
          <w:szCs w:val="24"/>
          <w:lang w:val="en-US" w:eastAsia="zh-CN" w:bidi="ar-SA"/>
        </w:rPr>
        <w:t>三、转型后的平台与政府的关系</w:t>
      </w:r>
    </w:p>
    <w:p>
      <w:pPr>
        <w:tabs>
          <w:tab w:val="left" w:pos="4680"/>
        </w:tabs>
        <w:spacing w:line="500" w:lineRule="exact"/>
        <w:jc w:val="left"/>
        <w:rPr>
          <w:rFonts w:hint="eastAsia"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default" w:ascii="宋体" w:hAnsi="宋体" w:eastAsiaTheme="minorEastAsia" w:cstheme="minorBidi"/>
          <w:color w:val="000000"/>
          <w:kern w:val="2"/>
          <w:sz w:val="24"/>
          <w:szCs w:val="24"/>
          <w:lang w:val="en-US" w:eastAsia="zh-CN" w:bidi="ar-SA"/>
        </w:rPr>
        <w:t>平台转型后地方政府仍然是其所有者与实际控制人，在这个前提不做改变的情况下，就需要政府与新平台公司改变原来的政企合一，改变原来平台公司作为地方政府解决城市基础设施建设任务的借款工具的角色，进行转变：</w:t>
      </w:r>
    </w:p>
    <w:p>
      <w:pPr>
        <w:tabs>
          <w:tab w:val="left" w:pos="4680"/>
        </w:tabs>
        <w:spacing w:line="500" w:lineRule="exact"/>
        <w:jc w:val="left"/>
        <w:rPr>
          <w:rFonts w:hint="eastAsia"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default" w:ascii="宋体" w:hAnsi="宋体" w:eastAsiaTheme="minorEastAsia" w:cstheme="minorBidi"/>
          <w:color w:val="000000"/>
          <w:kern w:val="2"/>
          <w:sz w:val="24"/>
          <w:szCs w:val="24"/>
          <w:lang w:val="en-US" w:eastAsia="zh-CN" w:bidi="ar-SA"/>
        </w:rPr>
        <w:t>（一）地方政府应明确自身职能，为新平台公司提供必要的政策支持与财政支持，将自主经营决定权归还新平台公司；</w:t>
      </w:r>
    </w:p>
    <w:p>
      <w:pPr>
        <w:tabs>
          <w:tab w:val="left" w:pos="4680"/>
        </w:tabs>
        <w:spacing w:line="500" w:lineRule="exact"/>
        <w:jc w:val="left"/>
        <w:rPr>
          <w:rFonts w:hint="eastAsia"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default" w:ascii="宋体" w:hAnsi="宋体" w:eastAsiaTheme="minorEastAsia" w:cstheme="minorBidi"/>
          <w:color w:val="000000"/>
          <w:kern w:val="2"/>
          <w:sz w:val="24"/>
          <w:szCs w:val="24"/>
          <w:lang w:val="en-US" w:eastAsia="zh-CN" w:bidi="ar-SA"/>
        </w:rPr>
        <w:t>（二）地方政府与新平台公司建立明确的职责承担范围；</w:t>
      </w:r>
    </w:p>
    <w:p>
      <w:pPr>
        <w:tabs>
          <w:tab w:val="left" w:pos="4680"/>
        </w:tabs>
        <w:spacing w:line="500" w:lineRule="exact"/>
        <w:jc w:val="left"/>
        <w:rPr>
          <w:rFonts w:hint="eastAsia"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default" w:ascii="宋体" w:hAnsi="宋体" w:eastAsiaTheme="minorEastAsia" w:cstheme="minorBidi"/>
          <w:color w:val="000000"/>
          <w:kern w:val="2"/>
          <w:sz w:val="24"/>
          <w:szCs w:val="24"/>
          <w:lang w:val="en-US" w:eastAsia="zh-CN" w:bidi="ar-SA"/>
        </w:rPr>
        <w:t>（三）建立新型的地方政府投融资模式：公益性项目应由地方政府承担全部的融资责任，以财政资金作为偿债来源；准经营性项目，采取“特许经营＋政府补贴”模式；经营性项目，引导市场主体进入。</w:t>
      </w:r>
    </w:p>
    <w:p>
      <w:pPr>
        <w:tabs>
          <w:tab w:val="left" w:pos="4680"/>
        </w:tabs>
        <w:spacing w:line="500" w:lineRule="exact"/>
        <w:jc w:val="left"/>
        <w:rPr>
          <w:rFonts w:hint="eastAsia"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default" w:ascii="宋体" w:hAnsi="宋体" w:eastAsiaTheme="minorEastAsia" w:cstheme="minorBidi"/>
          <w:color w:val="000000"/>
          <w:kern w:val="2"/>
          <w:sz w:val="24"/>
          <w:szCs w:val="24"/>
          <w:lang w:val="en-US" w:eastAsia="zh-CN" w:bidi="ar-SA"/>
        </w:rPr>
        <w:t>（四）建立新平台自身信用体系。</w:t>
      </w:r>
    </w:p>
    <w:p>
      <w:pPr>
        <w:tabs>
          <w:tab w:val="left" w:pos="4680"/>
        </w:tabs>
        <w:spacing w:line="500" w:lineRule="exact"/>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只有改变政府与原来平台公司之间的委托代理关系，改变平台公司依赖政府财政资金兜底的状况，新平台公司建立自身造血功能，才能真正实现政府与平台公司的隔离。</w:t>
      </w:r>
    </w:p>
    <w:p>
      <w:pPr>
        <w:tabs>
          <w:tab w:val="left" w:pos="4680"/>
        </w:tabs>
        <w:spacing w:line="500" w:lineRule="exact"/>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宋体" w:cs="宋体"/>
          <w:b w:val="0"/>
          <w:i w:val="0"/>
          <w:caps w:val="0"/>
          <w:color w:val="444444"/>
          <w:spacing w:val="0"/>
          <w:sz w:val="21"/>
          <w:szCs w:val="21"/>
          <w:bdr w:val="none" w:color="auto" w:sz="0" w:space="0"/>
        </w:rPr>
        <w:t>　　</w:t>
      </w:r>
      <w:bookmarkStart w:id="0" w:name="_GoBack"/>
      <w:bookmarkEnd w:id="0"/>
    </w:p>
    <w:p>
      <w:pPr>
        <w:tabs>
          <w:tab w:val="left" w:pos="4680"/>
        </w:tabs>
        <w:spacing w:line="500" w:lineRule="exact"/>
        <w:jc w:val="righ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海口市城市建设投资有限公司</w:t>
      </w:r>
    </w:p>
    <w:p>
      <w:pPr>
        <w:tabs>
          <w:tab w:val="left" w:pos="4680"/>
        </w:tabs>
        <w:spacing w:line="500" w:lineRule="exact"/>
        <w:jc w:val="righ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2018年</w:t>
      </w:r>
      <w:r>
        <w:rPr>
          <w:rFonts w:hint="eastAsia" w:ascii="宋体" w:hAnsi="宋体" w:cstheme="minorBidi"/>
          <w:color w:val="000000"/>
          <w:kern w:val="2"/>
          <w:sz w:val="24"/>
          <w:szCs w:val="24"/>
          <w:lang w:val="en-US" w:eastAsia="zh-CN" w:bidi="ar-SA"/>
        </w:rPr>
        <w:t>7</w:t>
      </w:r>
      <w:r>
        <w:rPr>
          <w:rFonts w:hint="eastAsia" w:ascii="宋体" w:hAnsi="宋体" w:eastAsiaTheme="minorEastAsia" w:cstheme="minorBidi"/>
          <w:color w:val="000000"/>
          <w:kern w:val="2"/>
          <w:sz w:val="24"/>
          <w:szCs w:val="24"/>
          <w:lang w:val="en-US" w:eastAsia="zh-CN" w:bidi="ar-SA"/>
        </w:rPr>
        <w:t>月</w:t>
      </w:r>
      <w:r>
        <w:rPr>
          <w:rFonts w:hint="eastAsia" w:ascii="宋体" w:hAnsi="宋体" w:cstheme="minorBidi"/>
          <w:color w:val="000000"/>
          <w:kern w:val="2"/>
          <w:sz w:val="24"/>
          <w:szCs w:val="24"/>
          <w:lang w:val="en-US" w:eastAsia="zh-CN" w:bidi="ar-SA"/>
        </w:rPr>
        <w:t>27</w:t>
      </w:r>
      <w:r>
        <w:rPr>
          <w:rFonts w:hint="eastAsia" w:ascii="宋体" w:hAnsi="宋体" w:eastAsiaTheme="minorEastAsia" w:cstheme="minorBidi"/>
          <w:color w:val="000000"/>
          <w:kern w:val="2"/>
          <w:sz w:val="24"/>
          <w:szCs w:val="24"/>
          <w:lang w:val="en-US" w:eastAsia="zh-CN" w:bidi="ar-SA"/>
        </w:rPr>
        <w:t>日</w:t>
      </w:r>
    </w:p>
    <w:p>
      <w:pPr>
        <w:tabs>
          <w:tab w:val="left" w:pos="4680"/>
        </w:tabs>
        <w:spacing w:line="500" w:lineRule="exact"/>
        <w:jc w:val="left"/>
        <w:rPr>
          <w:rFonts w:hint="default"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ff-tisa-web-pro-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瀹嬩綋">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新宋体-18030">
    <w:altName w:val="微软雅黑"/>
    <w:panose1 w:val="02010609060101010101"/>
    <w:charset w:val="86"/>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PingFang SC">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3802FAA"/>
    <w:rsid w:val="05605221"/>
    <w:rsid w:val="0C1510B5"/>
    <w:rsid w:val="0C8B726C"/>
    <w:rsid w:val="106814C6"/>
    <w:rsid w:val="11B2016B"/>
    <w:rsid w:val="11B25936"/>
    <w:rsid w:val="11C26D1D"/>
    <w:rsid w:val="135711B6"/>
    <w:rsid w:val="1C077BB4"/>
    <w:rsid w:val="1D644D34"/>
    <w:rsid w:val="21D167FF"/>
    <w:rsid w:val="24093C83"/>
    <w:rsid w:val="25140E91"/>
    <w:rsid w:val="26D66E8E"/>
    <w:rsid w:val="298433C2"/>
    <w:rsid w:val="2B4E6124"/>
    <w:rsid w:val="2BC96687"/>
    <w:rsid w:val="2DCF4E54"/>
    <w:rsid w:val="2ECA5F7D"/>
    <w:rsid w:val="2F1D4CC3"/>
    <w:rsid w:val="387E2BC0"/>
    <w:rsid w:val="3AD010DD"/>
    <w:rsid w:val="467D421D"/>
    <w:rsid w:val="4CEB02D2"/>
    <w:rsid w:val="53410626"/>
    <w:rsid w:val="5EBB0E8D"/>
    <w:rsid w:val="5F1E5AC5"/>
    <w:rsid w:val="602C7E0F"/>
    <w:rsid w:val="60C01E77"/>
    <w:rsid w:val="6CE1567F"/>
    <w:rsid w:val="70594F33"/>
    <w:rsid w:val="713016CA"/>
    <w:rsid w:val="72662AEE"/>
    <w:rsid w:val="767203B6"/>
    <w:rsid w:val="782A0984"/>
    <w:rsid w:val="7CE10643"/>
    <w:rsid w:val="7DDA2A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rFonts w:hint="eastAsia" w:ascii="宋体" w:hAnsi="宋体" w:eastAsia="宋体" w:cs="宋体"/>
      <w:color w:val="333333"/>
      <w:u w:val="none"/>
    </w:rPr>
  </w:style>
  <w:style w:type="character" w:styleId="8">
    <w:name w:val="Emphasis"/>
    <w:basedOn w:val="5"/>
    <w:qFormat/>
    <w:uiPriority w:val="0"/>
    <w:rPr>
      <w:i/>
    </w:rPr>
  </w:style>
  <w:style w:type="character" w:styleId="9">
    <w:name w:val="Hyperlink"/>
    <w:basedOn w:val="5"/>
    <w:qFormat/>
    <w:uiPriority w:val="0"/>
    <w:rPr>
      <w:rFonts w:hint="eastAsia" w:ascii="宋体" w:hAnsi="宋体" w:eastAsia="宋体" w:cs="宋体"/>
      <w:color w:val="333333"/>
      <w:u w:val="none"/>
    </w:rPr>
  </w:style>
  <w:style w:type="character" w:styleId="10">
    <w:name w:val="HTML Code"/>
    <w:basedOn w:val="5"/>
    <w:qFormat/>
    <w:uiPriority w:val="0"/>
    <w:rPr>
      <w:rFonts w:ascii="Courier New" w:hAnsi="Courier New"/>
      <w:sz w:val="20"/>
    </w:rPr>
  </w:style>
  <w:style w:type="character" w:styleId="11">
    <w:name w:val="HTML Cite"/>
    <w:basedOn w:val="5"/>
    <w:qFormat/>
    <w:uiPriority w:val="0"/>
    <w:rPr>
      <w:i/>
    </w:rPr>
  </w:style>
  <w:style w:type="character" w:customStyle="1" w:styleId="13">
    <w:name w:val="bds_more"/>
    <w:basedOn w:val="5"/>
    <w:qFormat/>
    <w:uiPriority w:val="0"/>
  </w:style>
  <w:style w:type="character" w:customStyle="1" w:styleId="14">
    <w:name w:val="bds_nopic"/>
    <w:basedOn w:val="5"/>
    <w:qFormat/>
    <w:uiPriority w:val="0"/>
  </w:style>
  <w:style w:type="character" w:customStyle="1" w:styleId="15">
    <w:name w:val="bds_nopic1"/>
    <w:basedOn w:val="5"/>
    <w:qFormat/>
    <w:uiPriority w:val="0"/>
  </w:style>
  <w:style w:type="character" w:customStyle="1" w:styleId="16">
    <w:name w:val="bds_nopic2"/>
    <w:basedOn w:val="5"/>
    <w:qFormat/>
    <w:uiPriority w:val="0"/>
  </w:style>
  <w:style w:type="character" w:customStyle="1" w:styleId="17">
    <w:name w:val="current"/>
    <w:basedOn w:val="5"/>
    <w:qFormat/>
    <w:uiPriority w:val="0"/>
    <w:rPr>
      <w:b/>
      <w:color w:val="666666"/>
      <w:bdr w:val="single" w:color="E0E0E0" w:sz="6" w:space="0"/>
      <w:shd w:val="clear" w:fill="F0F0F0"/>
    </w:rPr>
  </w:style>
  <w:style w:type="character" w:customStyle="1" w:styleId="18">
    <w:name w:val="disabled"/>
    <w:basedOn w:val="5"/>
    <w:qFormat/>
    <w:uiPriority w:val="0"/>
    <w:rPr>
      <w:color w:val="CCCCCC"/>
      <w:bdr w:val="single" w:color="DBDADA" w:sz="6" w:space="0"/>
    </w:rPr>
  </w:style>
  <w:style w:type="character" w:customStyle="1" w:styleId="19">
    <w:name w:val="tab_active"/>
    <w:basedOn w:val="5"/>
    <w:qFormat/>
    <w:uiPriority w:val="0"/>
    <w:rPr>
      <w:color w:val="666666"/>
    </w:rPr>
  </w:style>
  <w:style w:type="character" w:customStyle="1" w:styleId="20">
    <w:name w:val="current2"/>
    <w:basedOn w:val="5"/>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王钰</cp:lastModifiedBy>
  <dcterms:modified xsi:type="dcterms:W3CDTF">2018-10-08T01:47:37Z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