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继上海、北京后第三家 云南城投成都华尔道夫酒店正式开业</w:t>
      </w:r>
    </w:p>
    <w:p>
      <w:pPr>
        <w:spacing w:line="47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ind w:firstLine="480" w:firstLineChars="200"/>
        <w:jc w:val="center"/>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来源：东方财富网</w:t>
      </w:r>
    </w:p>
    <w:p>
      <w:pPr>
        <w:tabs>
          <w:tab w:val="left" w:pos="4680"/>
        </w:tabs>
        <w:spacing w:line="500" w:lineRule="exact"/>
        <w:jc w:val="left"/>
        <w:rPr>
          <w:rFonts w:hint="eastAsia" w:ascii="宋体" w:hAnsi="宋体" w:cs="宋体"/>
          <w:snapToGrid w:val="0"/>
          <w:color w:val="000000"/>
          <w:kern w:val="0"/>
          <w:sz w:val="24"/>
          <w:lang w:val="en-US" w:eastAsia="zh-CN"/>
        </w:rPr>
      </w:pPr>
      <w:r>
        <w:rPr>
          <w:rFonts w:hint="eastAsia" w:ascii="宋体" w:hAnsi="宋体"/>
          <w:color w:val="000000"/>
          <w:sz w:val="24"/>
        </w:rPr>
        <mc:AlternateContent>
          <mc:Choice Requires="wps">
            <w:drawing>
              <wp:anchor distT="0" distB="0" distL="114300" distR="114300" simplePos="0" relativeHeight="252443648" behindDoc="0" locked="0" layoutInCell="1" allowOverlap="1">
                <wp:simplePos x="0" y="0"/>
                <wp:positionH relativeFrom="column">
                  <wp:posOffset>99060</wp:posOffset>
                </wp:positionH>
                <wp:positionV relativeFrom="paragraph">
                  <wp:posOffset>211455</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8pt;margin-top:16.65pt;height:0.35pt;width:433.95pt;z-index:252443648;mso-width-relative:page;mso-height-relative:page;" filled="f" stroked="t" coordsize="21600,21600" o:gfxdata="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&#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T1S1gAAAAgBAAAPAAAAAAAAAAEAIAAAACIAAABk&#10;cnMvZG93bnJldi54bWxQSwECFAAUAAAACACHTuJAUYdbsM8BAACQAwAADgAAAAAAAAABACAAAAAl&#10;AQAAZHJzL2Uyb0RvYy54bWxQSwUGAAAAAAYABgBZAQAAZgU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7月31日，云南城投集团旗下的成都华尔道夫酒店正式开业，这是中国继上海、北京之后开设的第三家华尔道夫酒店。</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成都华尔道夫酒店坐落于城市综合体成都银泰中心in99内，共设有289间客房、6个餐厅和酒吧。对于活动，酒店内设有大宴会厅和5间会议室。</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云南城投集团副总裁杨晓轩接受媒体采访时表示，此次集团是通过和银泰的合作，参与了该酒店项目。而酒店落户成都，是因为成都是西部地区经济增速最快的城市，拥有庞大的消费市场。在未来集团还会通过成都会展集团在四川推动更多的项目。</w:t>
      </w:r>
    </w:p>
    <w:p>
      <w:pPr>
        <w:adjustRightInd w:val="0"/>
        <w:snapToGrid w:val="0"/>
        <w:spacing w:line="560" w:lineRule="exact"/>
        <w:jc w:val="center"/>
        <w:rPr>
          <w:rFonts w:hint="eastAsia" w:ascii="宋体" w:hAnsi="宋体"/>
          <w:b/>
          <w:snapToGrid w:val="0"/>
          <w:color w:val="FF0000"/>
          <w:kern w:val="0"/>
          <w:sz w:val="36"/>
          <w:szCs w:val="36"/>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40" w:lineRule="atLeast"/>
        <w:ind w:left="0" w:right="0"/>
        <w:jc w:val="center"/>
        <w:rPr>
          <w:rFonts w:hint="default" w:ascii="宋体" w:hAnsi="宋体" w:eastAsiaTheme="minorEastAsia" w:cstheme="minorBidi"/>
          <w:b/>
          <w:snapToGrid w:val="0"/>
          <w:color w:val="FF0000"/>
          <w:kern w:val="0"/>
          <w:sz w:val="36"/>
          <w:szCs w:val="36"/>
          <w:shd w:val="clear" w:color="auto" w:fill="FFFFFF"/>
          <w:lang w:val="en-US" w:eastAsia="zh-CN" w:bidi="ar-SA"/>
        </w:rPr>
      </w:pPr>
    </w:p>
    <w:p>
      <w:pPr>
        <w:rPr>
          <w:rFonts w:hint="default" w:ascii="宋体" w:hAnsi="宋体" w:eastAsiaTheme="minorEastAsia" w:cstheme="minorBidi"/>
          <w:b/>
          <w:snapToGrid w:val="0"/>
          <w:color w:val="FF0000"/>
          <w:kern w:val="0"/>
          <w:sz w:val="36"/>
          <w:szCs w:val="36"/>
          <w:shd w:val="clear" w:color="auto" w:fill="FFFFFF"/>
          <w:lang w:val="en-US" w:eastAsia="zh-CN" w:bidi="ar-SA"/>
        </w:rPr>
      </w:pPr>
    </w:p>
    <w:p>
      <w:pPr>
        <w:rPr>
          <w:rFonts w:hint="default" w:ascii="宋体" w:hAnsi="宋体" w:eastAsiaTheme="minorEastAsia" w:cstheme="minorBidi"/>
          <w:b/>
          <w:snapToGrid w:val="0"/>
          <w:color w:val="FF0000"/>
          <w:kern w:val="0"/>
          <w:sz w:val="36"/>
          <w:szCs w:val="36"/>
          <w:shd w:val="clear" w:color="auto" w:fill="FFFFFF"/>
          <w:lang w:val="en-US" w:eastAsia="zh-CN" w:bidi="ar-SA"/>
        </w:rPr>
      </w:pPr>
    </w:p>
    <w:p>
      <w:pPr>
        <w:rPr>
          <w:rFonts w:hint="default" w:ascii="宋体" w:hAnsi="宋体" w:eastAsiaTheme="minorEastAsia" w:cstheme="minorBidi"/>
          <w:b/>
          <w:snapToGrid w:val="0"/>
          <w:color w:val="FF0000"/>
          <w:kern w:val="0"/>
          <w:sz w:val="36"/>
          <w:szCs w:val="36"/>
          <w:shd w:val="clear" w:color="auto" w:fill="FFFFFF"/>
          <w:lang w:val="en-US" w:eastAsia="zh-CN" w:bidi="ar-SA"/>
        </w:rPr>
      </w:pPr>
    </w:p>
    <w:p>
      <w:pPr>
        <w:spacing w:line="47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中国燃气(00384-HK)与延长石油及西安城投订战略合作协议</w:t>
      </w:r>
    </w:p>
    <w:p>
      <w:pPr>
        <w:spacing w:line="47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来源：市商网</w:t>
      </w: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3230080" behindDoc="0" locked="0" layoutInCell="1" allowOverlap="1">
                <wp:simplePos x="0" y="0"/>
                <wp:positionH relativeFrom="column">
                  <wp:posOffset>156210</wp:posOffset>
                </wp:positionH>
                <wp:positionV relativeFrom="paragraph">
                  <wp:posOffset>192405</wp:posOffset>
                </wp:positionV>
                <wp:extent cx="5511165" cy="4445"/>
                <wp:effectExtent l="0" t="0" r="0" b="0"/>
                <wp:wrapNone/>
                <wp:docPr id="3"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2.3pt;margin-top:15.15pt;height:0.35pt;width:433.95pt;z-index:253230080;mso-width-relative:page;mso-height-relative:page;" filled="f" stroked="t" coordsize="21600,21600" o:gfxdata="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CGqGLXAAAACAEAAA8AAAAAAAAAAQAgAAAAIgAA&#10;AGRycy9kb3ducmV2LnhtbFBLAQIUABQAAAAIAIdO4kDtpR6+0AEAAJADAAAOAAAAAAAAAAEAIAAA&#10;ACYBAABkcnMvZTJvRG9jLnhtbFBLBQYAAAAABgAGAFkBAABoBQAAAAA=&#10;">
                <v:fill on="f" focussize="0,0"/>
                <v:stroke color="#000000" joinstyle="round"/>
                <v:imagedata o:title=""/>
                <o:lock v:ext="edit" aspectratio="f"/>
              </v:line>
            </w:pict>
          </mc:Fallback>
        </mc:AlternateContent>
      </w:r>
    </w:p>
    <w:p>
      <w:pPr>
        <w:spacing w:line="47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中国燃气公布，公司已于7月21日与陕西延长石油(集团)有限责任公司及西安城市基础设施建设投资集团有限公司订立战略合作协议，同时，公司之全资子公司中燃燃气实业(深圳)有限公司将与延长石油及西安城投之合资企业西安交通燃气有限责任公司成立一间合资公司陕西延长中燃能源发展有限公司，以落实中国陕西省“铁腕治霾、保卫蓝天”行动计划，并开展“煤改气”及气化乡镇燃气市场相关项目之投资、建设和运营。</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根据战略合作协议，订约三方同意合作内容包括天然气管道及配套设施，锅炉“煤改气”、气化乡镇、液化天然气(LNG)仓储、物流、点供、销售，LNG/压缩天然气(CNG)加气站、加油站、充电桩等业务；液化石油气(LPG)仓储、物流、分销、终端网路、LPG及相关资源深加工等业务；及燃气发电、集中供热、分散式能源、合同能源管理及相关增值服务等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40" w:lineRule="atLeast"/>
        <w:ind w:left="0" w:right="0"/>
        <w:jc w:val="both"/>
        <w:rPr>
          <w:rFonts w:hint="default" w:ascii="宋体" w:hAnsi="宋体" w:eastAsiaTheme="minorEastAsia" w:cstheme="minorBidi"/>
          <w:b/>
          <w:snapToGrid w:val="0"/>
          <w:color w:val="FF0000"/>
          <w:kern w:val="0"/>
          <w:sz w:val="36"/>
          <w:szCs w:val="36"/>
          <w:shd w:val="clear" w:color="auto" w:fill="FFFFFF"/>
          <w:lang w:val="en-US" w:eastAsia="zh-CN" w:bidi="ar-SA"/>
        </w:rPr>
      </w:pPr>
    </w:p>
    <w:p>
      <w:pPr>
        <w:adjustRightInd w:val="0"/>
        <w:snapToGrid w:val="0"/>
        <w:spacing w:line="560" w:lineRule="exact"/>
        <w:jc w:val="center"/>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2017年</w:t>
      </w:r>
      <w:r>
        <w:rPr>
          <w:rFonts w:hint="eastAsia" w:ascii="宋体" w:hAnsi="宋体" w:cstheme="minorBidi"/>
          <w:color w:val="000000"/>
          <w:kern w:val="2"/>
          <w:sz w:val="24"/>
          <w:szCs w:val="24"/>
          <w:lang w:val="en-US" w:eastAsia="zh-CN" w:bidi="ar-SA"/>
        </w:rPr>
        <w:t>7</w:t>
      </w:r>
      <w:bookmarkStart w:id="0" w:name="_GoBack"/>
      <w:bookmarkEnd w:id="0"/>
      <w:r>
        <w:rPr>
          <w:rFonts w:hint="eastAsia" w:ascii="宋体" w:hAnsi="宋体" w:eastAsiaTheme="minorEastAsia" w:cstheme="minorBidi"/>
          <w:color w:val="000000"/>
          <w:kern w:val="2"/>
          <w:sz w:val="24"/>
          <w:szCs w:val="24"/>
          <w:lang w:val="en-US" w:eastAsia="zh-CN" w:bidi="ar-SA"/>
        </w:rPr>
        <w:t>月28日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5711B6"/>
    <w:rsid w:val="1D644D34"/>
    <w:rsid w:val="21D167FF"/>
    <w:rsid w:val="24093C83"/>
    <w:rsid w:val="25140E91"/>
    <w:rsid w:val="26D66E8E"/>
    <w:rsid w:val="298433C2"/>
    <w:rsid w:val="2B4E6124"/>
    <w:rsid w:val="2BC96687"/>
    <w:rsid w:val="2DCF4E54"/>
    <w:rsid w:val="2ECA5F7D"/>
    <w:rsid w:val="2F1D4CC3"/>
    <w:rsid w:val="3AD010DD"/>
    <w:rsid w:val="467D421D"/>
    <w:rsid w:val="4CEB02D2"/>
    <w:rsid w:val="53410626"/>
    <w:rsid w:val="5F1E5AC5"/>
    <w:rsid w:val="602C7E0F"/>
    <w:rsid w:val="60C01E77"/>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Hyperlink"/>
    <w:basedOn w:val="5"/>
    <w:qFormat/>
    <w:uiPriority w:val="0"/>
    <w:rPr>
      <w:rFonts w:hint="eastAsia" w:ascii="宋体" w:hAnsi="宋体" w:eastAsia="宋体" w:cs="宋体"/>
      <w:color w:val="333333"/>
      <w:u w:val="none"/>
    </w:rPr>
  </w:style>
  <w:style w:type="character" w:styleId="9">
    <w:name w:val="HTML Code"/>
    <w:basedOn w:val="5"/>
    <w:qFormat/>
    <w:uiPriority w:val="0"/>
    <w:rPr>
      <w:rFonts w:ascii="Courier New" w:hAnsi="Courier New"/>
      <w:sz w:val="20"/>
    </w:rPr>
  </w:style>
  <w:style w:type="character" w:styleId="10">
    <w:name w:val="HTML Cite"/>
    <w:basedOn w:val="5"/>
    <w:qFormat/>
    <w:uiPriority w:val="0"/>
    <w:rPr>
      <w:i/>
    </w:rPr>
  </w:style>
  <w:style w:type="character" w:customStyle="1" w:styleId="12">
    <w:name w:val="bds_more"/>
    <w:basedOn w:val="5"/>
    <w:qFormat/>
    <w:uiPriority w:val="0"/>
  </w:style>
  <w:style w:type="character" w:customStyle="1" w:styleId="13">
    <w:name w:val="bds_nopic"/>
    <w:basedOn w:val="5"/>
    <w:qFormat/>
    <w:uiPriority w:val="0"/>
  </w:style>
  <w:style w:type="character" w:customStyle="1" w:styleId="14">
    <w:name w:val="bds_nopic1"/>
    <w:basedOn w:val="5"/>
    <w:qFormat/>
    <w:uiPriority w:val="0"/>
  </w:style>
  <w:style w:type="character" w:customStyle="1" w:styleId="15">
    <w:name w:val="bds_nopic2"/>
    <w:basedOn w:val="5"/>
    <w:qFormat/>
    <w:uiPriority w:val="0"/>
  </w:style>
  <w:style w:type="character" w:customStyle="1" w:styleId="16">
    <w:name w:val="current"/>
    <w:basedOn w:val="5"/>
    <w:qFormat/>
    <w:uiPriority w:val="0"/>
    <w:rPr>
      <w:b/>
      <w:color w:val="666666"/>
      <w:bdr w:val="single" w:color="E0E0E0" w:sz="6" w:space="0"/>
      <w:shd w:val="clear" w:fill="F0F0F0"/>
    </w:rPr>
  </w:style>
  <w:style w:type="character" w:customStyle="1" w:styleId="17">
    <w:name w:val="disabled"/>
    <w:basedOn w:val="5"/>
    <w:qFormat/>
    <w:uiPriority w:val="0"/>
    <w:rPr>
      <w:color w:val="CCCCCC"/>
      <w:bdr w:val="single" w:color="DBDADA" w:sz="6" w:space="0"/>
    </w:rPr>
  </w:style>
  <w:style w:type="character" w:customStyle="1" w:styleId="18">
    <w:name w:val="tab_active"/>
    <w:basedOn w:val="5"/>
    <w:qFormat/>
    <w:uiPriority w:val="0"/>
    <w:rPr>
      <w:color w:val="666666"/>
    </w:rPr>
  </w:style>
  <w:style w:type="character" w:customStyle="1" w:styleId="19">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2017-11-17T02:05:34Z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