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napToGrid w:val="0"/>
          <w:color w:val="FF0000"/>
          <w:kern w:val="0"/>
          <w:sz w:val="36"/>
          <w:szCs w:val="36"/>
          <w:shd w:val="clear" w:color="auto" w:fill="FFFFFF"/>
          <w:lang w:val="en-US" w:eastAsia="zh-CN"/>
        </w:rPr>
      </w:pPr>
    </w:p>
    <w:p>
      <w:pPr>
        <w:adjustRightInd w:val="0"/>
        <w:snapToGrid w:val="0"/>
        <w:spacing w:line="560" w:lineRule="exact"/>
        <w:jc w:val="center"/>
        <w:rPr>
          <w:rFonts w:hint="eastAsia" w:ascii="宋体" w:hAnsi="宋体"/>
          <w:b/>
          <w:snapToGrid w:val="0"/>
          <w:color w:val="FF0000"/>
          <w:kern w:val="0"/>
          <w:sz w:val="36"/>
          <w:szCs w:val="36"/>
          <w:shd w:val="clear" w:color="auto" w:fill="FFFFFF"/>
          <w:lang w:val="en-US" w:eastAsia="zh-CN"/>
        </w:rPr>
      </w:pPr>
      <w:r>
        <w:rPr>
          <w:rFonts w:hint="eastAsia" w:ascii="宋体" w:hAnsi="宋体"/>
          <w:b/>
          <w:snapToGrid w:val="0"/>
          <w:color w:val="FF0000"/>
          <w:kern w:val="0"/>
          <w:sz w:val="36"/>
          <w:szCs w:val="36"/>
          <w:shd w:val="clear" w:color="auto" w:fill="FFFFFF"/>
          <w:lang w:val="en-US" w:eastAsia="zh-CN"/>
        </w:rPr>
        <w:t>云南城投出资2.01亿成立合资公司拓展江西九江项目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来自：观点地产网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66675</wp:posOffset>
                </wp:positionV>
                <wp:extent cx="5486400" cy="0"/>
                <wp:effectExtent l="0" t="0" r="0" b="0"/>
                <wp:wrapNone/>
                <wp:docPr id="7"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pt;margin-top:5.25pt;height:0pt;width:432pt;z-index:251755520;mso-width-relative:page;mso-height-relative:page;" filled="f" stroked="t" coordsize="21600,21600" o:gfxdata="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jLhtUAAAAIAQAADwAAAAAAAAABACAAAAAiAAAAZHJz&#10;L2Rvd25yZXYueG1sUEsBAhQAFAAAAAgAh07iQDNZ+qzOAQAAjQMAAA4AAAAAAAAAAQAgAAAAJAEA&#10;AGRycy9lMm9Eb2MueG1sUEsFBgAAAAAGAAYAWQEAAGQFA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9月8日，云南城投（专题阅读）置业股份有限公司发布对外投资公告，公司拟与云南融筑在江西省九江市共同出资设立九江市云城旅游综合开发有限公司，注册资本3亿元。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观点地产新媒体查询公告，云南城投出资20100万元，持股67%；云南融筑出资9900万元，持股33%。双方将以九江云城为平台，在江西省共同合作开发项目。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云南城投表示，此次与云南融筑共同出资设立九江云城，可促使公司在九江市的拟投资项目更好更快落地，实现公司进入九江市场的目的。九江云城将主要从事文化旅游项目开发与经营、房地产开发及项目管理、对外投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公告称，该笔对外投资在云南城投董事会权限范围之内，无需提交公司股东大会审议，亦不构成关联交易和重大资产重组。</w:t>
      </w: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bookmarkStart w:id="0" w:name="_GoBack"/>
      <w:bookmarkEnd w:id="0"/>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adjustRightInd w:val="0"/>
        <w:snapToGrid w:val="0"/>
        <w:spacing w:line="560" w:lineRule="exact"/>
        <w:jc w:val="both"/>
        <w:rPr>
          <w:rFonts w:hint="eastAsia" w:ascii="宋体" w:hAnsi="宋体"/>
          <w:b/>
          <w:snapToGrid w:val="0"/>
          <w:color w:val="FF0000"/>
          <w:kern w:val="0"/>
          <w:sz w:val="36"/>
          <w:szCs w:val="36"/>
          <w:shd w:val="clear" w:color="auto" w:fill="FFFFFF"/>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云南城投抵押689亩土地 为昆明湖项目公司8.85亿融资提供担保</w:t>
      </w:r>
    </w:p>
    <w:p>
      <w:pPr>
        <w:adjustRightInd w:val="0"/>
        <w:snapToGrid w:val="0"/>
        <w:spacing w:line="560" w:lineRule="exact"/>
        <w:jc w:val="center"/>
        <w:rPr>
          <w:rFonts w:hint="eastAsia" w:ascii="宋体" w:hAnsi="宋体"/>
          <w:b/>
          <w:snapToGrid w:val="0"/>
          <w:color w:val="FF0000"/>
          <w:kern w:val="0"/>
          <w:sz w:val="36"/>
          <w:szCs w:val="36"/>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w:t>
      </w:r>
      <w:r>
        <w:rPr>
          <w:rFonts w:hint="eastAsia" w:ascii="宋体" w:hAnsi="宋体" w:cstheme="minorBidi"/>
          <w:color w:val="000000"/>
          <w:kern w:val="2"/>
          <w:sz w:val="24"/>
          <w:szCs w:val="24"/>
          <w:lang w:val="en-US" w:eastAsia="zh-CN" w:bidi="ar-SA"/>
        </w:rPr>
        <w:t>源</w:t>
      </w:r>
      <w:r>
        <w:rPr>
          <w:rFonts w:hint="eastAsia" w:ascii="宋体" w:hAnsi="宋体" w:eastAsiaTheme="minorEastAsia" w:cstheme="minorBidi"/>
          <w:color w:val="000000"/>
          <w:kern w:val="2"/>
          <w:sz w:val="24"/>
          <w:szCs w:val="24"/>
          <w:lang w:val="en-US" w:eastAsia="zh-CN" w:bidi="ar-SA"/>
        </w:rPr>
        <w:t>：观点地产网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853824" behindDoc="0" locked="0" layoutInCell="1" allowOverlap="1">
                <wp:simplePos x="0" y="0"/>
                <wp:positionH relativeFrom="column">
                  <wp:posOffset>-142875</wp:posOffset>
                </wp:positionH>
                <wp:positionV relativeFrom="paragraph">
                  <wp:posOffset>69850</wp:posOffset>
                </wp:positionV>
                <wp:extent cx="5486400" cy="0"/>
                <wp:effectExtent l="0" t="0" r="0" b="0"/>
                <wp:wrapNone/>
                <wp:docPr id="11"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25pt;margin-top:5.5pt;height:0pt;width:432pt;z-index:251853824;mso-width-relative:page;mso-height-relative:page;" filled="f" stroked="t" coordsize="21600,21600" o:gfxdata="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VTL/bVAAAACQEAAA8AAAAAAAAAAQAgAAAAIgAAAGRy&#10;cy9kb3ducmV2LnhtbFBLAQIUABQAAAAIAIdO4kBFU2mozwEAAI4DAAAOAAAAAAAAAAEAIAAAACQB&#10;AABkcnMvZTJvRG9jLnhtbFBLBQYAAAAABgAGAFkBAABlBQ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9月11日，</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"http://news.winshang.com/tag/000/5224.html"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云南城投</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"http://www.winshang.com/zt/list.aspx?key=%u4e91%u5357%u57ce%u6295" \o "查看\“云南城投\”相关专题" \t "http://news.winshang.com/html/062/_blank"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专题阅读</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）置业股份有限公司公告称，全资子公司</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"http://news.winshang.com/tag/030/8676.html"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云南城投龙江房地产</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开发有限公司，于近日取得长城华西银行股份有限公司泸州分行发放的8.85亿元贷款，期限3年。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据此，云南城投为该笔贷款提供全额连带保证担保，并以持有的云南城投海东投资开发有限公司100%股权提供质押担保。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另外，海东公司以其持有的255亩国有建设用地使用权提供抵押担保；云南城投洱海置业有限公司以其持有的156亩、278亩的两宗国有建设用地使用权提供抵押担保。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据观点地产新媒体查阅资料，上述3宗质押地块有两宗为云南城投旗下“大理海东国际旅游休闲体验区”项目地块。该项目启动区规划用地约6800亩。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其中：海东公司主要开发“悦榕庄酒店”项目；洱海置业主要开发“梦云南·海东方”住宅项目、“旅游小镇”项目及“体育休闲公园”项目。项目总投资42亿元。“悦榕庄酒店”项目用地255.25亩；“旅游小镇”项目占地156.37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而278亩地块则为洱海置业于2016年12月12日，以1.85亿元拿下的大理海东新城中心片区HC2016-17地块，该地块土地面积278.24亩，土地用途为商服用地。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据了解，云南城投龙江房地产公司为融城·昆明湖项目公司，此番获得8.85亿元的贷款或将用于昆明湖的后续开发。此前于3月份，其已经通过抵押427亩土地，获得取得云南国际信托有限公司发放的信托贷款11.2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2017年9月28日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5711B6"/>
    <w:rsid w:val="1D644D34"/>
    <w:rsid w:val="21D167FF"/>
    <w:rsid w:val="24093C83"/>
    <w:rsid w:val="25140E91"/>
    <w:rsid w:val="26D66E8E"/>
    <w:rsid w:val="298433C2"/>
    <w:rsid w:val="2BC96687"/>
    <w:rsid w:val="2DCF4E54"/>
    <w:rsid w:val="2F1D4CC3"/>
    <w:rsid w:val="3AD010DD"/>
    <w:rsid w:val="467D421D"/>
    <w:rsid w:val="4CEB02D2"/>
    <w:rsid w:val="5F1E5AC5"/>
    <w:rsid w:val="602C7E0F"/>
    <w:rsid w:val="60C01E77"/>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2017-10-31T03:06:26Z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